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7000" w14:textId="228B04A7" w:rsidR="005C1F06" w:rsidRPr="00BD3F1B" w:rsidRDefault="005C1F06" w:rsidP="005C1F06">
      <w:pPr>
        <w:jc w:val="center"/>
        <w:rPr>
          <w:b/>
        </w:rPr>
      </w:pPr>
      <w:r w:rsidRPr="00BD3F1B">
        <w:rPr>
          <w:b/>
        </w:rPr>
        <w:t>Bryant &amp; Stratton College</w:t>
      </w:r>
    </w:p>
    <w:p w14:paraId="77B2D464" w14:textId="52FADF62" w:rsidR="005C1F06" w:rsidRPr="00BD3F1B" w:rsidRDefault="005C1F06" w:rsidP="005C1F06">
      <w:pPr>
        <w:jc w:val="center"/>
        <w:rPr>
          <w:b/>
        </w:rPr>
      </w:pPr>
      <w:r w:rsidRPr="00BD3F1B">
        <w:rPr>
          <w:b/>
        </w:rPr>
        <w:t>Liberal Arts Department</w:t>
      </w:r>
    </w:p>
    <w:p w14:paraId="4A3E4C1D" w14:textId="77777777" w:rsidR="005C1F06" w:rsidRPr="00BD3F1B" w:rsidRDefault="005C1F06" w:rsidP="005C1F06">
      <w:pPr>
        <w:jc w:val="center"/>
        <w:rPr>
          <w:b/>
        </w:rPr>
      </w:pPr>
    </w:p>
    <w:p w14:paraId="7D588D30" w14:textId="0A4B3986" w:rsidR="005C1F06" w:rsidRPr="00BD3F1B" w:rsidRDefault="005C1F06" w:rsidP="005C1F06">
      <w:pPr>
        <w:jc w:val="center"/>
        <w:rPr>
          <w:b/>
        </w:rPr>
      </w:pPr>
      <w:r w:rsidRPr="00BD3F1B">
        <w:rPr>
          <w:b/>
        </w:rPr>
        <w:t>Project Proposal for an Online ASVAB Preparatory Class</w:t>
      </w:r>
    </w:p>
    <w:p w14:paraId="710083EB" w14:textId="77777777" w:rsidR="005C1F06" w:rsidRPr="00BD3F1B" w:rsidRDefault="005C1F06" w:rsidP="00814A48">
      <w:pPr>
        <w:jc w:val="both"/>
        <w:rPr>
          <w:b/>
        </w:rPr>
      </w:pPr>
    </w:p>
    <w:p w14:paraId="3BD1B8FF" w14:textId="77777777" w:rsidR="005C1F06" w:rsidRPr="00BD3F1B" w:rsidRDefault="005C1F06" w:rsidP="00814A48">
      <w:pPr>
        <w:jc w:val="both"/>
        <w:rPr>
          <w:b/>
        </w:rPr>
      </w:pPr>
    </w:p>
    <w:p w14:paraId="129ABDE6" w14:textId="77777777" w:rsidR="00814A48" w:rsidRPr="00BD3F1B" w:rsidRDefault="00814A48" w:rsidP="00B33F52">
      <w:pPr>
        <w:spacing w:line="480" w:lineRule="auto"/>
        <w:jc w:val="both"/>
        <w:rPr>
          <w:b/>
        </w:rPr>
      </w:pPr>
      <w:r w:rsidRPr="00BD3F1B">
        <w:rPr>
          <w:b/>
        </w:rPr>
        <w:t>Introduction</w:t>
      </w:r>
    </w:p>
    <w:p w14:paraId="5573E231" w14:textId="77777777" w:rsidR="00814A48" w:rsidRPr="00BD3F1B" w:rsidRDefault="00814A48" w:rsidP="00B33F52">
      <w:pPr>
        <w:spacing w:line="480" w:lineRule="auto"/>
      </w:pPr>
      <w:r w:rsidRPr="00BD3F1B">
        <w:t>The ASVAB Preparatory Class is a course that aims to help military recruits, active duty personnel, and reservists to improve their ASVAB test scores.  The purpose of the online ASVAB prep course provided by Bryant &amp; Stratton College is to provide an accessible, interactive, preparatory course to students that require more than independent study coursework, yet cannot commute to a local campus to take the class.  This proposal will introduce a multimedia learning design that will cover the components of the course that will aid these students in the pursuit of their military career goals.</w:t>
      </w:r>
    </w:p>
    <w:p w14:paraId="73623F21" w14:textId="77777777" w:rsidR="00AB152B" w:rsidRPr="00BD3F1B" w:rsidRDefault="00AB152B" w:rsidP="00B33F52">
      <w:pPr>
        <w:spacing w:line="480" w:lineRule="auto"/>
        <w:rPr>
          <w:rFonts w:eastAsiaTheme="minorEastAsia"/>
        </w:rPr>
      </w:pPr>
    </w:p>
    <w:p w14:paraId="59B95022" w14:textId="56617214" w:rsidR="00814A48" w:rsidRPr="00BD3F1B" w:rsidRDefault="00AB152B" w:rsidP="00B33F52">
      <w:pPr>
        <w:spacing w:line="480" w:lineRule="auto"/>
        <w:rPr>
          <w:rFonts w:eastAsiaTheme="minorEastAsia"/>
          <w:b/>
        </w:rPr>
      </w:pPr>
      <w:r w:rsidRPr="00BD3F1B">
        <w:rPr>
          <w:rFonts w:eastAsiaTheme="minorEastAsia"/>
          <w:b/>
        </w:rPr>
        <w:t>Instructional Design Model</w:t>
      </w:r>
    </w:p>
    <w:p w14:paraId="342C14D7" w14:textId="3A1CABAE" w:rsidR="00F72E44" w:rsidRPr="00BD3F1B" w:rsidRDefault="00F25DDF" w:rsidP="00B33F52">
      <w:pPr>
        <w:spacing w:line="480" w:lineRule="auto"/>
        <w:rPr>
          <w:rFonts w:eastAsiaTheme="minorEastAsia"/>
        </w:rPr>
      </w:pPr>
      <w:r w:rsidRPr="00BD3F1B">
        <w:rPr>
          <w:rFonts w:eastAsiaTheme="minorEastAsia"/>
        </w:rPr>
        <w:t xml:space="preserve">ADDIE, one of the most common instructional design models, will be the basis upon which this course is created.  Because this will be the first course of its kind at Bryant &amp; Stratton, all </w:t>
      </w:r>
      <w:r w:rsidR="004B421A" w:rsidRPr="00BD3F1B">
        <w:rPr>
          <w:rFonts w:eastAsiaTheme="minorEastAsia"/>
        </w:rPr>
        <w:t>phases of ADDIE will need to be completed:  Analysis, Design, Development, Implementation, and Evaluation (Morrison, et.al, 2007, p. 13).</w:t>
      </w:r>
      <w:r w:rsidR="002D504C" w:rsidRPr="00BD3F1B">
        <w:rPr>
          <w:rFonts w:eastAsiaTheme="minorEastAsia"/>
        </w:rPr>
        <w:t xml:space="preserve">   In order to complete this proposal, </w:t>
      </w:r>
      <w:r w:rsidR="00AF673D" w:rsidRPr="00BD3F1B">
        <w:rPr>
          <w:rFonts w:eastAsiaTheme="minorEastAsia"/>
        </w:rPr>
        <w:t>the instructional design process has commenced.</w:t>
      </w:r>
      <w:r w:rsidR="002D504C" w:rsidRPr="00BD3F1B">
        <w:rPr>
          <w:rFonts w:eastAsiaTheme="minorEastAsia"/>
        </w:rPr>
        <w:t xml:space="preserve"> C</w:t>
      </w:r>
      <w:r w:rsidR="00AB152B" w:rsidRPr="00BD3F1B">
        <w:rPr>
          <w:rFonts w:eastAsiaTheme="minorEastAsia"/>
        </w:rPr>
        <w:t>ontext and needs analysis has been completed to determine what needs are to be met</w:t>
      </w:r>
      <w:r w:rsidR="00AF673D" w:rsidRPr="00BD3F1B">
        <w:rPr>
          <w:rFonts w:eastAsiaTheme="minorEastAsia"/>
        </w:rPr>
        <w:t>.  Much of the</w:t>
      </w:r>
      <w:r w:rsidR="00AB152B" w:rsidRPr="00BD3F1B">
        <w:rPr>
          <w:rFonts w:eastAsiaTheme="minorEastAsia"/>
        </w:rPr>
        <w:t xml:space="preserve"> learning design </w:t>
      </w:r>
      <w:r w:rsidR="00AF673D" w:rsidRPr="00BD3F1B">
        <w:rPr>
          <w:rFonts w:eastAsiaTheme="minorEastAsia"/>
        </w:rPr>
        <w:t xml:space="preserve">step </w:t>
      </w:r>
      <w:r w:rsidR="00AB152B" w:rsidRPr="00BD3F1B">
        <w:rPr>
          <w:rFonts w:eastAsiaTheme="minorEastAsia"/>
        </w:rPr>
        <w:t xml:space="preserve">has been completed </w:t>
      </w:r>
      <w:r w:rsidR="00AF673D" w:rsidRPr="00BD3F1B">
        <w:rPr>
          <w:rFonts w:eastAsiaTheme="minorEastAsia"/>
        </w:rPr>
        <w:t xml:space="preserve">in order </w:t>
      </w:r>
      <w:r w:rsidR="00AB152B" w:rsidRPr="00BD3F1B">
        <w:rPr>
          <w:rFonts w:eastAsiaTheme="minorEastAsia"/>
        </w:rPr>
        <w:t xml:space="preserve">to determine how those </w:t>
      </w:r>
      <w:proofErr w:type="gramStart"/>
      <w:r w:rsidR="00AB152B" w:rsidRPr="00BD3F1B">
        <w:rPr>
          <w:rFonts w:eastAsiaTheme="minorEastAsia"/>
        </w:rPr>
        <w:t>needs will</w:t>
      </w:r>
      <w:proofErr w:type="gramEnd"/>
      <w:r w:rsidR="00AB152B" w:rsidRPr="00BD3F1B">
        <w:rPr>
          <w:rFonts w:eastAsiaTheme="minorEastAsia"/>
        </w:rPr>
        <w:t xml:space="preserve"> be met</w:t>
      </w:r>
      <w:r w:rsidR="00AF673D" w:rsidRPr="00BD3F1B">
        <w:rPr>
          <w:rFonts w:eastAsiaTheme="minorEastAsia"/>
        </w:rPr>
        <w:t xml:space="preserve">.  The development, implementation, and evaluation phases have yet to be visited.  However, </w:t>
      </w:r>
      <w:r w:rsidR="00BD3F1B" w:rsidRPr="00BD3F1B">
        <w:rPr>
          <w:rFonts w:eastAsiaTheme="minorEastAsia"/>
        </w:rPr>
        <w:t>much discussion has been had regarding the resources that will be needed for the completion of these phases.</w:t>
      </w:r>
    </w:p>
    <w:p w14:paraId="1B1CDB56" w14:textId="77777777" w:rsidR="00AB152B" w:rsidRPr="00BD3F1B" w:rsidRDefault="00AB152B" w:rsidP="00B33F52">
      <w:pPr>
        <w:spacing w:line="480" w:lineRule="auto"/>
        <w:rPr>
          <w:rFonts w:eastAsiaTheme="minorEastAsia"/>
          <w:b/>
        </w:rPr>
      </w:pPr>
    </w:p>
    <w:p w14:paraId="55D2DE75" w14:textId="77777777" w:rsidR="00D77950" w:rsidRPr="00BD3F1B" w:rsidRDefault="00D77950" w:rsidP="00B33F52">
      <w:pPr>
        <w:spacing w:line="480" w:lineRule="auto"/>
        <w:jc w:val="both"/>
      </w:pPr>
      <w:r w:rsidRPr="00BD3F1B">
        <w:t xml:space="preserve">The design for this course is heavily founded on the basis of </w:t>
      </w:r>
      <w:proofErr w:type="spellStart"/>
      <w:r w:rsidRPr="00BD3F1B">
        <w:t>Cognitivism</w:t>
      </w:r>
      <w:proofErr w:type="spellEnd"/>
      <w:r w:rsidRPr="00BD3F1B">
        <w:t xml:space="preserve">.  Cognitivists recognize that much learning comes from repetition and reinforcement.  “Cognitivists see learning as an internal process of thinking, reflection, abstraction, motivation, and metacognition” (Ally, 2008, pg. 21).  Key concepts of </w:t>
      </w:r>
      <w:proofErr w:type="spellStart"/>
      <w:r w:rsidRPr="00BD3F1B">
        <w:t>Cognitivism</w:t>
      </w:r>
      <w:proofErr w:type="spellEnd"/>
      <w:r w:rsidRPr="00BD3F1B">
        <w:t xml:space="preserve"> that will be used in the design of the ASVAB course are meaningful effect, practice effects, transfer effects, organization effects, and Mnemonic effects (</w:t>
      </w:r>
      <w:proofErr w:type="spellStart"/>
      <w:r w:rsidRPr="00BD3F1B">
        <w:t>Mergel</w:t>
      </w:r>
      <w:proofErr w:type="spellEnd"/>
      <w:r w:rsidRPr="00BD3F1B">
        <w:t xml:space="preserve">, 1998, pgs. 6-7).  These concepts are ideas that help students remember and process information.  For example, Mnemonics, as </w:t>
      </w:r>
      <w:proofErr w:type="spellStart"/>
      <w:r w:rsidRPr="00BD3F1B">
        <w:t>Mergel</w:t>
      </w:r>
      <w:proofErr w:type="spellEnd"/>
      <w:r w:rsidRPr="00BD3F1B">
        <w:t xml:space="preserve"> (1998) explains, “are strategies used by learners to organize relatively meaningless input into more meaningful images or semantic contexts” (pg. 7).  A great deal of the course content will be centered around remembering basic principles and recalling rules, theories, and facts to use in combination with test taking skills to answer solve questions.     </w:t>
      </w:r>
    </w:p>
    <w:p w14:paraId="540819CE" w14:textId="77777777" w:rsidR="00D77950" w:rsidRPr="00BD3F1B" w:rsidRDefault="00D77950" w:rsidP="00B33F52">
      <w:pPr>
        <w:spacing w:line="480" w:lineRule="auto"/>
        <w:rPr>
          <w:rFonts w:eastAsiaTheme="minorEastAsia"/>
          <w:b/>
        </w:rPr>
      </w:pPr>
    </w:p>
    <w:p w14:paraId="2A967A73" w14:textId="3461BABD" w:rsidR="005C12AD" w:rsidRPr="00BD3F1B" w:rsidRDefault="005C12AD" w:rsidP="00B33F52">
      <w:pPr>
        <w:spacing w:line="480" w:lineRule="auto"/>
        <w:rPr>
          <w:rFonts w:eastAsiaTheme="minorEastAsia"/>
          <w:b/>
        </w:rPr>
      </w:pPr>
      <w:r w:rsidRPr="00BD3F1B">
        <w:rPr>
          <w:rFonts w:eastAsiaTheme="minorEastAsia"/>
          <w:b/>
        </w:rPr>
        <w:t>Rationale for use of Multimedia</w:t>
      </w:r>
    </w:p>
    <w:p w14:paraId="149D6EA2" w14:textId="77777777" w:rsidR="00D344EE" w:rsidRPr="00BD3F1B" w:rsidRDefault="00D344EE" w:rsidP="00B33F52">
      <w:pPr>
        <w:spacing w:line="480" w:lineRule="auto"/>
        <w:rPr>
          <w:rFonts w:eastAsiaTheme="minorEastAsia"/>
        </w:rPr>
      </w:pPr>
    </w:p>
    <w:p w14:paraId="7A034E98" w14:textId="3BBD8063" w:rsidR="005C12AD" w:rsidRPr="00BD3F1B" w:rsidRDefault="007F103F" w:rsidP="00B33F52">
      <w:pPr>
        <w:spacing w:line="480" w:lineRule="auto"/>
        <w:rPr>
          <w:rFonts w:eastAsiaTheme="minorEastAsia"/>
        </w:rPr>
      </w:pPr>
      <w:r w:rsidRPr="00BD3F1B">
        <w:rPr>
          <w:rFonts w:eastAsiaTheme="minorEastAsia"/>
        </w:rPr>
        <w:t xml:space="preserve">Mayer (2001) has a hard time defining multimedia because it means different things to different people.  However, he very </w:t>
      </w:r>
      <w:r w:rsidR="00F27DA4" w:rsidRPr="00BD3F1B">
        <w:rPr>
          <w:rFonts w:eastAsiaTheme="minorEastAsia"/>
        </w:rPr>
        <w:t>plainly</w:t>
      </w:r>
      <w:r w:rsidRPr="00BD3F1B">
        <w:rPr>
          <w:rFonts w:eastAsiaTheme="minorEastAsia"/>
        </w:rPr>
        <w:t xml:space="preserve"> defines multimedia as </w:t>
      </w:r>
      <w:r w:rsidR="00F27DA4" w:rsidRPr="00BD3F1B">
        <w:rPr>
          <w:rFonts w:eastAsiaTheme="minorEastAsia"/>
        </w:rPr>
        <w:t xml:space="preserve">“the presentation of material using both words and pictures” (p. 2).  </w:t>
      </w:r>
      <w:r w:rsidR="000B4CFF" w:rsidRPr="00BD3F1B">
        <w:rPr>
          <w:rFonts w:eastAsiaTheme="minorEastAsia"/>
        </w:rPr>
        <w:t xml:space="preserve">Multimedia can be in the form of several different presentations.  Some examples of multimedia </w:t>
      </w:r>
      <w:r w:rsidR="008B5EF9" w:rsidRPr="00BD3F1B">
        <w:rPr>
          <w:rFonts w:eastAsiaTheme="minorEastAsia"/>
        </w:rPr>
        <w:t xml:space="preserve">are live and online PowerPoint presentations, videos, </w:t>
      </w:r>
      <w:r w:rsidR="00B76D0B" w:rsidRPr="00BD3F1B">
        <w:rPr>
          <w:rFonts w:eastAsiaTheme="minorEastAsia"/>
        </w:rPr>
        <w:t>and writing on the blackboard during a lecture, and textbooks.  These are all examples of multimedia because they incorporate two or more different kinds of audio, visual, pictorial, and written media.</w:t>
      </w:r>
    </w:p>
    <w:p w14:paraId="77B40941" w14:textId="77777777" w:rsidR="007F103F" w:rsidRPr="00BD3F1B" w:rsidRDefault="007F103F" w:rsidP="00B33F52">
      <w:pPr>
        <w:spacing w:line="480" w:lineRule="auto"/>
        <w:rPr>
          <w:rFonts w:eastAsiaTheme="minorEastAsia"/>
          <w:b/>
        </w:rPr>
      </w:pPr>
    </w:p>
    <w:p w14:paraId="35441C7E" w14:textId="69E464FE" w:rsidR="007B5ADB" w:rsidRPr="00BD3F1B" w:rsidRDefault="007B5ADB" w:rsidP="00B33F52">
      <w:pPr>
        <w:spacing w:line="480" w:lineRule="auto"/>
        <w:rPr>
          <w:rFonts w:eastAsiaTheme="minorEastAsia"/>
          <w:b/>
        </w:rPr>
      </w:pPr>
      <w:r w:rsidRPr="00BD3F1B">
        <w:rPr>
          <w:rFonts w:eastAsiaTheme="minorEastAsia"/>
          <w:b/>
        </w:rPr>
        <w:t>Advantages, and Disadvantages of Multimedia Learning</w:t>
      </w:r>
    </w:p>
    <w:p w14:paraId="6D8C686C" w14:textId="77777777" w:rsidR="000D6DFC" w:rsidRPr="00BD3F1B" w:rsidRDefault="00A42AEE" w:rsidP="00B33F52">
      <w:pPr>
        <w:spacing w:line="480" w:lineRule="auto"/>
        <w:rPr>
          <w:rFonts w:eastAsiaTheme="minorEastAsia"/>
        </w:rPr>
      </w:pPr>
      <w:r w:rsidRPr="00BD3F1B">
        <w:rPr>
          <w:rFonts w:eastAsiaTheme="minorEastAsia"/>
        </w:rPr>
        <w:t>The use of multimedia</w:t>
      </w:r>
      <w:r w:rsidR="00F72E44" w:rsidRPr="00BD3F1B">
        <w:rPr>
          <w:rFonts w:eastAsiaTheme="minorEastAsia"/>
        </w:rPr>
        <w:t xml:space="preserve"> has many advantages and fewer disadvantages.</w:t>
      </w:r>
      <w:r w:rsidRPr="00BD3F1B">
        <w:rPr>
          <w:rFonts w:eastAsiaTheme="minorEastAsia"/>
        </w:rPr>
        <w:t xml:space="preserve"> </w:t>
      </w:r>
      <w:r w:rsidR="00F72E44" w:rsidRPr="00BD3F1B">
        <w:rPr>
          <w:rFonts w:eastAsiaTheme="minorEastAsia"/>
        </w:rPr>
        <w:t xml:space="preserve"> Some of those advantages included engagement in learning, accommodation of man</w:t>
      </w:r>
      <w:r w:rsidR="00E006B9" w:rsidRPr="00BD3F1B">
        <w:rPr>
          <w:rFonts w:eastAsiaTheme="minorEastAsia"/>
        </w:rPr>
        <w:t>y</w:t>
      </w:r>
      <w:r w:rsidR="00F72E44" w:rsidRPr="00BD3F1B">
        <w:rPr>
          <w:rFonts w:eastAsiaTheme="minorEastAsia"/>
        </w:rPr>
        <w:t xml:space="preserve"> learning styles, </w:t>
      </w:r>
      <w:proofErr w:type="gramStart"/>
      <w:r w:rsidR="00F72E44" w:rsidRPr="00BD3F1B">
        <w:rPr>
          <w:rFonts w:eastAsiaTheme="minorEastAsia"/>
        </w:rPr>
        <w:t>infusion of prior experience, enhancing literacy, and motivation</w:t>
      </w:r>
      <w:proofErr w:type="gramEnd"/>
      <w:r w:rsidR="00F839E3" w:rsidRPr="00BD3F1B">
        <w:rPr>
          <w:rFonts w:eastAsiaTheme="minorEastAsia"/>
        </w:rPr>
        <w:t xml:space="preserve"> (Anderson, d., &amp; Bull, P.H., 2011, pp. 40-41)</w:t>
      </w:r>
      <w:r w:rsidR="00F72E44" w:rsidRPr="00BD3F1B">
        <w:rPr>
          <w:rFonts w:eastAsiaTheme="minorEastAsia"/>
        </w:rPr>
        <w:t>.</w:t>
      </w:r>
      <w:r w:rsidR="00F839E3" w:rsidRPr="00BD3F1B">
        <w:rPr>
          <w:rFonts w:eastAsiaTheme="minorEastAsia"/>
        </w:rPr>
        <w:t xml:space="preserve">  Multimedia learning requires the attention of students</w:t>
      </w:r>
      <w:r w:rsidR="000D6DFC" w:rsidRPr="00BD3F1B">
        <w:rPr>
          <w:rFonts w:eastAsiaTheme="minorEastAsia"/>
        </w:rPr>
        <w:t xml:space="preserve"> and in turn, keeps them motivated and excited to learn</w:t>
      </w:r>
      <w:r w:rsidR="00F839E3" w:rsidRPr="00BD3F1B">
        <w:rPr>
          <w:rFonts w:eastAsiaTheme="minorEastAsia"/>
        </w:rPr>
        <w:t>.  In a study conducted with 1</w:t>
      </w:r>
      <w:r w:rsidR="00F839E3" w:rsidRPr="00BD3F1B">
        <w:rPr>
          <w:rFonts w:eastAsiaTheme="minorEastAsia"/>
          <w:vertAlign w:val="superscript"/>
        </w:rPr>
        <w:t>st</w:t>
      </w:r>
      <w:r w:rsidR="00F839E3" w:rsidRPr="00BD3F1B">
        <w:rPr>
          <w:rFonts w:eastAsiaTheme="minorEastAsia"/>
        </w:rPr>
        <w:t xml:space="preserve"> graders, students were engaged in learning regardless of their learning styles.  “The multimedia lessons also met the needs of interpersonal, linguistic, and </w:t>
      </w:r>
      <w:proofErr w:type="spellStart"/>
      <w:r w:rsidR="00F839E3" w:rsidRPr="00BD3F1B">
        <w:rPr>
          <w:rFonts w:eastAsiaTheme="minorEastAsia"/>
        </w:rPr>
        <w:t>logico</w:t>
      </w:r>
      <w:proofErr w:type="spellEnd"/>
      <w:r w:rsidR="00F839E3" w:rsidRPr="00BD3F1B">
        <w:rPr>
          <w:rFonts w:eastAsiaTheme="minorEastAsia"/>
        </w:rPr>
        <w:t xml:space="preserve"> reasoning learners, which are very strong components of literacy” (</w:t>
      </w:r>
      <w:r w:rsidR="00BA37D7" w:rsidRPr="00BD3F1B">
        <w:rPr>
          <w:rFonts w:eastAsiaTheme="minorEastAsia"/>
        </w:rPr>
        <w:t>p. 41).</w:t>
      </w:r>
      <w:r w:rsidR="00E006B9" w:rsidRPr="00BD3F1B">
        <w:rPr>
          <w:rFonts w:eastAsiaTheme="minorEastAsia"/>
        </w:rPr>
        <w:t xml:space="preserve">  Because multimedia incorporates the use of so many different tools, </w:t>
      </w:r>
      <w:r w:rsidR="00C45F7A" w:rsidRPr="00BD3F1B">
        <w:rPr>
          <w:rFonts w:eastAsiaTheme="minorEastAsia"/>
        </w:rPr>
        <w:t xml:space="preserve">students were able </w:t>
      </w:r>
      <w:r w:rsidR="002672EC" w:rsidRPr="00BD3F1B">
        <w:rPr>
          <w:rFonts w:eastAsiaTheme="minorEastAsia"/>
        </w:rPr>
        <w:t>to learn through “reading, writing, and oral presentations” (p. 41).</w:t>
      </w:r>
      <w:r w:rsidR="000D6DFC" w:rsidRPr="00BD3F1B">
        <w:rPr>
          <w:rFonts w:eastAsiaTheme="minorEastAsia"/>
        </w:rPr>
        <w:t xml:space="preserve"> </w:t>
      </w:r>
    </w:p>
    <w:p w14:paraId="0BEB6A21" w14:textId="77777777" w:rsidR="000D6DFC" w:rsidRPr="00BD3F1B" w:rsidRDefault="000D6DFC" w:rsidP="00B33F52">
      <w:pPr>
        <w:spacing w:line="480" w:lineRule="auto"/>
        <w:rPr>
          <w:rFonts w:eastAsiaTheme="minorEastAsia"/>
        </w:rPr>
      </w:pPr>
    </w:p>
    <w:p w14:paraId="1105D615" w14:textId="5139A48B" w:rsidR="007B5ADB" w:rsidRPr="00BD3F1B" w:rsidRDefault="000D6DFC" w:rsidP="00B33F52">
      <w:pPr>
        <w:spacing w:line="480" w:lineRule="auto"/>
        <w:rPr>
          <w:rFonts w:eastAsiaTheme="minorEastAsia"/>
        </w:rPr>
      </w:pPr>
      <w:r w:rsidRPr="00BD3F1B">
        <w:rPr>
          <w:rFonts w:eastAsiaTheme="minorEastAsia"/>
        </w:rPr>
        <w:t>Disadvantages to multimedia learning may lie in the inexperience of the learners themselves.  Multimedia learning often requires the use of technology</w:t>
      </w:r>
      <w:r w:rsidR="00A35778" w:rsidRPr="00BD3F1B">
        <w:rPr>
          <w:rFonts w:eastAsiaTheme="minorEastAsia"/>
        </w:rPr>
        <w:t>, in which case some students are more apt than others.</w:t>
      </w:r>
      <w:r w:rsidR="00DA1C8B" w:rsidRPr="00BD3F1B">
        <w:rPr>
          <w:rFonts w:eastAsiaTheme="minorEastAsia"/>
        </w:rPr>
        <w:t xml:space="preserve">  </w:t>
      </w:r>
      <w:proofErr w:type="gramStart"/>
      <w:r w:rsidR="00DA1C8B" w:rsidRPr="00BD3F1B">
        <w:rPr>
          <w:rFonts w:eastAsiaTheme="minorEastAsia"/>
        </w:rPr>
        <w:t>An article by Yan, D.</w:t>
      </w:r>
      <w:proofErr w:type="gramEnd"/>
      <w:r w:rsidR="00DA1C8B" w:rsidRPr="00BD3F1B">
        <w:rPr>
          <w:rFonts w:eastAsiaTheme="minorEastAsia"/>
        </w:rPr>
        <w:t xml:space="preserve">  (2011) </w:t>
      </w:r>
      <w:proofErr w:type="gramStart"/>
      <w:r w:rsidR="00DA1C8B" w:rsidRPr="00BD3F1B">
        <w:rPr>
          <w:rFonts w:eastAsiaTheme="minorEastAsia"/>
        </w:rPr>
        <w:t>warns</w:t>
      </w:r>
      <w:proofErr w:type="gramEnd"/>
      <w:r w:rsidR="00DA1C8B" w:rsidRPr="00BD3F1B">
        <w:rPr>
          <w:rFonts w:eastAsiaTheme="minorEastAsia"/>
        </w:rPr>
        <w:t xml:space="preserve"> instructors about some of the pitfalls of using multimedia in the classroom.   The author points out that</w:t>
      </w:r>
      <w:r w:rsidR="001B242D" w:rsidRPr="00BD3F1B">
        <w:rPr>
          <w:rFonts w:eastAsiaTheme="minorEastAsia"/>
        </w:rPr>
        <w:t xml:space="preserve"> multimedia presentations are informative, but sometimes cannot highlight the importance of the le</w:t>
      </w:r>
      <w:r w:rsidR="00EF096C" w:rsidRPr="00BD3F1B">
        <w:rPr>
          <w:rFonts w:eastAsiaTheme="minorEastAsia"/>
        </w:rPr>
        <w:t xml:space="preserve">sson.  </w:t>
      </w:r>
      <w:r w:rsidR="00F207CE" w:rsidRPr="00BD3F1B">
        <w:rPr>
          <w:rFonts w:eastAsiaTheme="minorEastAsia"/>
        </w:rPr>
        <w:t xml:space="preserve">Another interesting point Yan makes is that the stored and formed answers limit students responses.  </w:t>
      </w:r>
      <w:r w:rsidR="00EF096C" w:rsidRPr="00BD3F1B">
        <w:rPr>
          <w:rFonts w:eastAsiaTheme="minorEastAsia"/>
        </w:rPr>
        <w:t>Multimedia presentations, when given in a traditional face-to-fa</w:t>
      </w:r>
      <w:r w:rsidR="00A84F50" w:rsidRPr="00BD3F1B">
        <w:rPr>
          <w:rFonts w:eastAsiaTheme="minorEastAsia"/>
        </w:rPr>
        <w:t>ce classroom, can be limited in in</w:t>
      </w:r>
      <w:r w:rsidR="00EF096C" w:rsidRPr="00BD3F1B">
        <w:rPr>
          <w:rFonts w:eastAsiaTheme="minorEastAsia"/>
        </w:rPr>
        <w:t>teraction</w:t>
      </w:r>
      <w:r w:rsidR="004B34E4" w:rsidRPr="00BD3F1B">
        <w:rPr>
          <w:rFonts w:eastAsiaTheme="minorEastAsia"/>
        </w:rPr>
        <w:t xml:space="preserve"> (pp. 166-167)</w:t>
      </w:r>
      <w:r w:rsidR="00EF096C" w:rsidRPr="00BD3F1B">
        <w:rPr>
          <w:rFonts w:eastAsiaTheme="minorEastAsia"/>
        </w:rPr>
        <w:t>.</w:t>
      </w:r>
    </w:p>
    <w:p w14:paraId="2672321B" w14:textId="77777777" w:rsidR="00F72E44" w:rsidRPr="00BD3F1B" w:rsidRDefault="00F72E44" w:rsidP="00B33F52">
      <w:pPr>
        <w:spacing w:line="480" w:lineRule="auto"/>
        <w:rPr>
          <w:rFonts w:eastAsiaTheme="minorEastAsia"/>
        </w:rPr>
      </w:pPr>
    </w:p>
    <w:p w14:paraId="0DBD09F0" w14:textId="77777777" w:rsidR="00151E60" w:rsidRDefault="00151E60" w:rsidP="00B33F52">
      <w:pPr>
        <w:spacing w:line="480" w:lineRule="auto"/>
        <w:rPr>
          <w:rFonts w:eastAsiaTheme="minorEastAsia"/>
          <w:b/>
        </w:rPr>
      </w:pPr>
    </w:p>
    <w:p w14:paraId="27F2A1F9" w14:textId="77777777" w:rsidR="007B5ADB" w:rsidRPr="00BD3F1B" w:rsidRDefault="007B5ADB" w:rsidP="00B33F52">
      <w:pPr>
        <w:spacing w:line="480" w:lineRule="auto"/>
        <w:rPr>
          <w:rFonts w:eastAsiaTheme="minorEastAsia"/>
          <w:b/>
        </w:rPr>
      </w:pPr>
      <w:r w:rsidRPr="00BD3F1B">
        <w:rPr>
          <w:rFonts w:eastAsiaTheme="minorEastAsia"/>
          <w:b/>
        </w:rPr>
        <w:t>Target Group</w:t>
      </w:r>
    </w:p>
    <w:p w14:paraId="223C85BB" w14:textId="01FE53CB" w:rsidR="007B5ADB" w:rsidRPr="00BD3F1B" w:rsidRDefault="007B5ADB" w:rsidP="00B33F52">
      <w:pPr>
        <w:spacing w:line="480" w:lineRule="auto"/>
        <w:jc w:val="both"/>
      </w:pPr>
      <w:r w:rsidRPr="00BD3F1B">
        <w:t>While this course will be offered to active duty military as well as civilians, the main population of students will be high school graduates seeking admission</w:t>
      </w:r>
      <w:r w:rsidR="00F44A4C" w:rsidRPr="00BD3F1B">
        <w:t xml:space="preserve"> into the military.</w:t>
      </w:r>
      <w:r w:rsidRPr="00BD3F1B">
        <w:t xml:space="preserve">  These students will have no college experience and little online learning experience.  They will most likely be between the ages of 17 and 18 and will be without their own form of transportation.  The age group of this population is technologically savvy and very experienced with the use of computers, the </w:t>
      </w:r>
      <w:proofErr w:type="gramStart"/>
      <w:r w:rsidRPr="00BD3F1B">
        <w:t>internet</w:t>
      </w:r>
      <w:proofErr w:type="gramEnd"/>
      <w:r w:rsidRPr="00BD3F1B">
        <w:t xml:space="preserve">, and social media.  They are also not far removed from the learning environment.  The maximum age for enlistment is 35, so the population will not exceed that age.  Many students that enlist without first going to college are those that did not obtain the grades or test scores necessary to attend and/or those that did not enjoy going to school.  </w:t>
      </w:r>
      <w:r w:rsidR="00A0422D" w:rsidRPr="00BD3F1B">
        <w:t xml:space="preserve">These students will most likely be self-motivated due to their desire to further their own careers.  </w:t>
      </w:r>
      <w:r w:rsidRPr="00BD3F1B">
        <w:t>The instructional design will be that which will cater to the needs of the average high school graduate and will be highly interactive and engaging to keep the attention and maximize the learning of these students.</w:t>
      </w:r>
    </w:p>
    <w:p w14:paraId="77E04180" w14:textId="77777777" w:rsidR="00660633" w:rsidRPr="00BD3F1B" w:rsidRDefault="00660633" w:rsidP="00B33F52">
      <w:pPr>
        <w:spacing w:line="480" w:lineRule="auto"/>
        <w:rPr>
          <w:rFonts w:eastAsiaTheme="minorEastAsia"/>
          <w:b/>
        </w:rPr>
      </w:pPr>
    </w:p>
    <w:p w14:paraId="06E31A39" w14:textId="66EBA7C9" w:rsidR="007B5ADB" w:rsidRPr="00BD3F1B" w:rsidRDefault="0039265F" w:rsidP="00B33F52">
      <w:pPr>
        <w:spacing w:line="480" w:lineRule="auto"/>
        <w:rPr>
          <w:rFonts w:eastAsiaTheme="minorEastAsia"/>
          <w:b/>
        </w:rPr>
      </w:pPr>
      <w:r w:rsidRPr="00BD3F1B">
        <w:rPr>
          <w:rFonts w:eastAsiaTheme="minorEastAsia"/>
          <w:b/>
        </w:rPr>
        <w:t>Presentation Modes</w:t>
      </w:r>
    </w:p>
    <w:p w14:paraId="54B355CF" w14:textId="77777777" w:rsidR="00E45808" w:rsidRPr="00BD3F1B" w:rsidRDefault="00E45808" w:rsidP="00B33F52">
      <w:pPr>
        <w:spacing w:line="480" w:lineRule="auto"/>
        <w:jc w:val="both"/>
      </w:pPr>
      <w:r w:rsidRPr="00BD3F1B">
        <w:t xml:space="preserve">The content that will be covered in this course ranges from Mathematics, to spatial Recognition.  Because of the wide array of subjects, the material must be presented in several different ways so that all students can benefit from its presentation.  This form of repetition will not be overload; rather, it will be an opportunity for cognitive reinforcement.  The materials will be taken from several text books and used for the development of learning modules, presented through Drupal, an open source content management system that allows users to create interactive learning modules.  Students will be directed each week to the modules, which will be accessible via </w:t>
      </w:r>
      <w:proofErr w:type="spellStart"/>
      <w:r w:rsidRPr="00BD3F1B">
        <w:t>WebTycho</w:t>
      </w:r>
      <w:proofErr w:type="spellEnd"/>
      <w:r w:rsidRPr="00BD3F1B">
        <w:t xml:space="preserve">.  </w:t>
      </w:r>
      <w:proofErr w:type="spellStart"/>
      <w:r w:rsidRPr="00BD3F1B">
        <w:t>WebTycho</w:t>
      </w:r>
      <w:proofErr w:type="spellEnd"/>
      <w:r w:rsidRPr="00BD3F1B">
        <w:t xml:space="preserve"> is a learning management system developed at the University of Maryland, University College.  The system allows instructional designers and instructors to host the entire class through one centralized location.  Student can log into </w:t>
      </w:r>
      <w:proofErr w:type="spellStart"/>
      <w:r w:rsidRPr="00BD3F1B">
        <w:t>WebTycho</w:t>
      </w:r>
      <w:proofErr w:type="spellEnd"/>
      <w:r w:rsidRPr="00BD3F1B">
        <w:t xml:space="preserve"> to access course content, participate in classroom activities, and contact instructors and peers.  The link to Drupal will be stored under the “Course Content” section in the </w:t>
      </w:r>
      <w:proofErr w:type="spellStart"/>
      <w:r w:rsidRPr="00BD3F1B">
        <w:t>WebTycho</w:t>
      </w:r>
      <w:proofErr w:type="spellEnd"/>
      <w:r w:rsidRPr="00BD3F1B">
        <w:t xml:space="preserve"> system.  The coursework on Drupal will be divided up into modules and then weeks, so </w:t>
      </w:r>
      <w:proofErr w:type="gramStart"/>
      <w:r w:rsidRPr="00BD3F1B">
        <w:t>it is easily navigated by the students</w:t>
      </w:r>
      <w:proofErr w:type="gramEnd"/>
      <w:r w:rsidRPr="00BD3F1B">
        <w:t xml:space="preserve">.  The hypermedia will take on a hierarchal structure such as the ones found in the text of Wang and Gearhart’s </w:t>
      </w:r>
      <w:r w:rsidRPr="00BD3F1B">
        <w:rPr>
          <w:u w:val="single"/>
        </w:rPr>
        <w:t>Designing and Developing Web-based Instruction</w:t>
      </w:r>
      <w:r w:rsidRPr="00BD3F1B">
        <w:t xml:space="preserve"> (2006).  </w:t>
      </w:r>
      <w:proofErr w:type="gramStart"/>
      <w:r w:rsidRPr="00BD3F1B">
        <w:t>Wang and Gearhart state that hierarchal structures start with general knowledge and move to a deeper level of content.</w:t>
      </w:r>
      <w:proofErr w:type="gramEnd"/>
      <w:r w:rsidRPr="00BD3F1B">
        <w:t xml:space="preserve">  The following is an example of the structure that will be used to deliver the course content:</w:t>
      </w:r>
    </w:p>
    <w:p w14:paraId="7EEFD7B6" w14:textId="77777777" w:rsidR="00E45808" w:rsidRPr="00BD3F1B" w:rsidRDefault="00E45808" w:rsidP="00B33F52">
      <w:pPr>
        <w:spacing w:line="480" w:lineRule="auto"/>
        <w:jc w:val="both"/>
      </w:pPr>
      <w:r w:rsidRPr="00BD3F1B">
        <w:t xml:space="preserve">  </w:t>
      </w:r>
    </w:p>
    <w:p w14:paraId="52336870" w14:textId="77777777" w:rsidR="00E45808" w:rsidRPr="00BD3F1B" w:rsidRDefault="00E45808" w:rsidP="00B33F52">
      <w:pPr>
        <w:spacing w:line="480" w:lineRule="auto"/>
        <w:jc w:val="both"/>
      </w:pPr>
      <w:r w:rsidRPr="00BD3F1B">
        <w:rPr>
          <w:noProof/>
        </w:rPr>
        <w:drawing>
          <wp:inline distT="0" distB="0" distL="0" distR="0" wp14:anchorId="39AAC93F" wp14:editId="67F74D2D">
            <wp:extent cx="2295525" cy="2809397"/>
            <wp:effectExtent l="0" t="0" r="0" b="0"/>
            <wp:docPr id="2" name="Picture 1" descr="http://www.aosabook.org/images/itk/IllustrationOfModular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sabook.org/images/itk/IllustrationOfModularStructu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7443" cy="2811744"/>
                    </a:xfrm>
                    <a:prstGeom prst="rect">
                      <a:avLst/>
                    </a:prstGeom>
                    <a:noFill/>
                    <a:ln>
                      <a:noFill/>
                    </a:ln>
                  </pic:spPr>
                </pic:pic>
              </a:graphicData>
            </a:graphic>
          </wp:inline>
        </w:drawing>
      </w:r>
    </w:p>
    <w:p w14:paraId="193A6C54" w14:textId="77777777" w:rsidR="00E45808" w:rsidRPr="00BD3F1B" w:rsidRDefault="00E45808" w:rsidP="00B33F52">
      <w:pPr>
        <w:spacing w:line="480" w:lineRule="auto"/>
        <w:jc w:val="both"/>
      </w:pPr>
    </w:p>
    <w:p w14:paraId="715A8B9C" w14:textId="77777777" w:rsidR="00E45808" w:rsidRPr="00BD3F1B" w:rsidRDefault="00E45808" w:rsidP="00B33F52">
      <w:pPr>
        <w:spacing w:line="480" w:lineRule="auto"/>
        <w:jc w:val="both"/>
        <w:rPr>
          <w:color w:val="FF0000"/>
        </w:rPr>
      </w:pPr>
      <w:r w:rsidRPr="00BD3F1B">
        <w:t xml:space="preserve">This image was taken from an article in the series, The Architecture of Open Source Applications (2011, Figure 9.3).  Once students have completed their tasks in Drupal, including their assessments, they will return to </w:t>
      </w:r>
      <w:proofErr w:type="spellStart"/>
      <w:r w:rsidRPr="00BD3F1B">
        <w:t>WebTycho</w:t>
      </w:r>
      <w:proofErr w:type="spellEnd"/>
      <w:r w:rsidRPr="00BD3F1B">
        <w:t xml:space="preserve"> to communicate with their classmates and instructors.  Each week will cover one subject featured on the ASVAB test.  They will also find on </w:t>
      </w:r>
      <w:proofErr w:type="spellStart"/>
      <w:r w:rsidRPr="00BD3F1B">
        <w:t>WebTycho</w:t>
      </w:r>
      <w:proofErr w:type="spellEnd"/>
      <w:r w:rsidRPr="00BD3F1B">
        <w:t xml:space="preserve"> access to </w:t>
      </w:r>
      <w:proofErr w:type="spellStart"/>
      <w:r w:rsidRPr="00BD3F1B">
        <w:t>eChapters</w:t>
      </w:r>
      <w:proofErr w:type="spellEnd"/>
      <w:r w:rsidRPr="00BD3F1B">
        <w:t xml:space="preserve"> of the textbooks, additional exercises that can be completed for practice, and interesting articles that will be used for class discussions.</w:t>
      </w:r>
    </w:p>
    <w:p w14:paraId="6E33CFAF" w14:textId="77777777" w:rsidR="00E45808" w:rsidRPr="00BD3F1B" w:rsidRDefault="00E45808" w:rsidP="00B33F52">
      <w:pPr>
        <w:spacing w:line="480" w:lineRule="auto"/>
        <w:rPr>
          <w:rFonts w:eastAsiaTheme="minorEastAsia"/>
          <w:b/>
        </w:rPr>
      </w:pPr>
    </w:p>
    <w:p w14:paraId="48184A6A" w14:textId="77777777" w:rsidR="0039265F" w:rsidRPr="00BD3F1B" w:rsidRDefault="0039265F" w:rsidP="00B33F52">
      <w:pPr>
        <w:spacing w:line="480" w:lineRule="auto"/>
        <w:rPr>
          <w:rFonts w:eastAsiaTheme="minorEastAsia"/>
        </w:rPr>
      </w:pPr>
    </w:p>
    <w:p w14:paraId="5171B487" w14:textId="7870C60B" w:rsidR="00DD6E90" w:rsidRPr="00BD3F1B" w:rsidRDefault="00DD6E90" w:rsidP="00B33F52">
      <w:pPr>
        <w:spacing w:line="480" w:lineRule="auto"/>
        <w:rPr>
          <w:rFonts w:eastAsiaTheme="minorEastAsia"/>
          <w:b/>
        </w:rPr>
      </w:pPr>
      <w:r w:rsidRPr="00BD3F1B">
        <w:rPr>
          <w:rFonts w:eastAsiaTheme="minorEastAsia"/>
          <w:b/>
        </w:rPr>
        <w:t>Media Selection Criteria</w:t>
      </w:r>
    </w:p>
    <w:p w14:paraId="2A0AA19D" w14:textId="77777777" w:rsidR="007D5FD3" w:rsidRPr="008263C2" w:rsidRDefault="007D5FD3" w:rsidP="00B33F52">
      <w:pPr>
        <w:spacing w:line="480" w:lineRule="auto"/>
        <w:rPr>
          <w:rFonts w:eastAsiaTheme="minorEastAsia"/>
        </w:rPr>
      </w:pPr>
      <w:r>
        <w:rPr>
          <w:rFonts w:eastAsiaTheme="minorEastAsia"/>
        </w:rPr>
        <w:t>The model for media selection that will be used is the SECTIONS model, presented by Bates &amp; Poole (2003).  SECTIONS represents a number of questions which are to be asked about media choices: students, ease of use and reliability, costs, teaching and learning, interactivity, organizational issues, novelty, and speed (pp. 79-80).  Asking questions regarding all of these topics will allow for easier selection of the right media.</w:t>
      </w:r>
    </w:p>
    <w:p w14:paraId="7A3DA5B2" w14:textId="77777777" w:rsidR="007D5FD3" w:rsidRDefault="007D5FD3" w:rsidP="00B33F52">
      <w:pPr>
        <w:spacing w:line="480" w:lineRule="auto"/>
      </w:pPr>
    </w:p>
    <w:p w14:paraId="1D76FFC8" w14:textId="5C20989C" w:rsidR="0039265F" w:rsidRPr="00BD3F1B" w:rsidRDefault="0039265F" w:rsidP="00B33F52">
      <w:pPr>
        <w:spacing w:line="480" w:lineRule="auto"/>
        <w:rPr>
          <w:rFonts w:eastAsiaTheme="minorEastAsia"/>
          <w:b/>
        </w:rPr>
      </w:pPr>
      <w:r w:rsidRPr="00BD3F1B">
        <w:t>Interaction in this course is what sets it apart from other ASVAB prep courses that can be taken independently online.  The course content is presented via click through modules, which will require the students’ full attention.  Multimedia, consisting of audio, visual, and video will be included.  The interaction with other students will be facilitated through conference discussions, study groups, and partnerships.  Conference discussions will be held weekly as opportunities for reflection, forums for discussion with the instructors, and student-teaching opportunities.  Study groups will be formed so that the students in each group can complement each other. This will help form a sense of community and allow the students to recognize that they are not alone.  Building learning communities is important because they provide a social context for the material, they connect the students, and they bridge the gap between school and work (Wilson, et al, 2004, p. 3).  These aspects will be very important for the learners in the ASVAB prep class. </w:t>
      </w:r>
    </w:p>
    <w:p w14:paraId="534464F8" w14:textId="77777777" w:rsidR="008263C2" w:rsidRPr="00BD3F1B" w:rsidRDefault="008263C2" w:rsidP="00B33F52">
      <w:pPr>
        <w:spacing w:line="480" w:lineRule="auto"/>
        <w:rPr>
          <w:rFonts w:eastAsiaTheme="minorEastAsia"/>
          <w:b/>
        </w:rPr>
      </w:pPr>
    </w:p>
    <w:p w14:paraId="12278540" w14:textId="6FC6CFAB" w:rsidR="00DD6E90" w:rsidRPr="00BD3F1B" w:rsidRDefault="00DD6E90" w:rsidP="00B33F52">
      <w:pPr>
        <w:spacing w:line="480" w:lineRule="auto"/>
        <w:rPr>
          <w:rFonts w:eastAsiaTheme="minorEastAsia"/>
          <w:b/>
        </w:rPr>
      </w:pPr>
      <w:r w:rsidRPr="00BD3F1B">
        <w:rPr>
          <w:rFonts w:eastAsiaTheme="minorEastAsia"/>
          <w:b/>
        </w:rPr>
        <w:t>Content and Schedule</w:t>
      </w:r>
      <w:r w:rsidR="003C72FC" w:rsidRPr="00BD3F1B">
        <w:rPr>
          <w:rFonts w:eastAsiaTheme="minorEastAsia"/>
          <w:b/>
        </w:rPr>
        <w:t xml:space="preserve"> of Program</w:t>
      </w:r>
    </w:p>
    <w:p w14:paraId="39925386" w14:textId="77777777" w:rsidR="00CC7577" w:rsidRPr="00BD3F1B" w:rsidRDefault="00CC7577" w:rsidP="00B33F52">
      <w:pPr>
        <w:spacing w:line="480" w:lineRule="auto"/>
        <w:rPr>
          <w:rFonts w:eastAsiaTheme="minorEastAsia"/>
          <w:b/>
        </w:rPr>
      </w:pPr>
    </w:p>
    <w:p w14:paraId="3919D20D" w14:textId="77777777" w:rsidR="003C72FC" w:rsidRPr="00BD3F1B" w:rsidRDefault="003C72FC" w:rsidP="00B33F52">
      <w:pPr>
        <w:spacing w:line="480" w:lineRule="auto"/>
        <w:jc w:val="both"/>
      </w:pPr>
      <w:r w:rsidRPr="00BD3F1B">
        <w:rPr>
          <w:b/>
        </w:rPr>
        <w:t>Course outline</w:t>
      </w:r>
    </w:p>
    <w:p w14:paraId="2E9C0B2D" w14:textId="77777777" w:rsidR="003C72FC" w:rsidRPr="00BD3F1B" w:rsidRDefault="003C72FC" w:rsidP="00B33F52">
      <w:pPr>
        <w:pStyle w:val="ListParagraph"/>
        <w:numPr>
          <w:ilvl w:val="0"/>
          <w:numId w:val="1"/>
        </w:numPr>
        <w:spacing w:line="480" w:lineRule="auto"/>
        <w:jc w:val="both"/>
      </w:pPr>
      <w:r w:rsidRPr="00BD3F1B">
        <w:t>Module 1- Basic Training</w:t>
      </w:r>
    </w:p>
    <w:p w14:paraId="336577A5" w14:textId="77777777" w:rsidR="003C72FC" w:rsidRPr="00BD3F1B" w:rsidRDefault="003C72FC" w:rsidP="00B33F52">
      <w:pPr>
        <w:pStyle w:val="ListParagraph"/>
        <w:numPr>
          <w:ilvl w:val="1"/>
          <w:numId w:val="1"/>
        </w:numPr>
        <w:spacing w:line="480" w:lineRule="auto"/>
        <w:jc w:val="both"/>
      </w:pPr>
      <w:r w:rsidRPr="00BD3F1B">
        <w:t>“Pre-Course: Warming up”</w:t>
      </w:r>
    </w:p>
    <w:p w14:paraId="2F366EFC" w14:textId="7B9CA6F7" w:rsidR="003C72FC" w:rsidRPr="00BD3F1B" w:rsidRDefault="003C72FC" w:rsidP="00B33F52">
      <w:pPr>
        <w:pStyle w:val="ListParagraph"/>
        <w:numPr>
          <w:ilvl w:val="1"/>
          <w:numId w:val="1"/>
        </w:numPr>
        <w:spacing w:line="480" w:lineRule="auto"/>
        <w:jc w:val="both"/>
      </w:pPr>
      <w:r w:rsidRPr="00BD3F1B">
        <w:t>“Week 1- Eyes on the Prize”</w:t>
      </w:r>
    </w:p>
    <w:p w14:paraId="37515E9A" w14:textId="77777777" w:rsidR="003C72FC" w:rsidRPr="00BD3F1B" w:rsidRDefault="003C72FC" w:rsidP="00B33F52">
      <w:pPr>
        <w:pStyle w:val="ListParagraph"/>
        <w:numPr>
          <w:ilvl w:val="0"/>
          <w:numId w:val="1"/>
        </w:numPr>
        <w:spacing w:line="480" w:lineRule="auto"/>
        <w:jc w:val="both"/>
      </w:pPr>
      <w:r w:rsidRPr="00BD3F1B">
        <w:t xml:space="preserve">Module 2- The Verbal Hurdle </w:t>
      </w:r>
    </w:p>
    <w:p w14:paraId="47A70A91" w14:textId="77777777" w:rsidR="003C72FC" w:rsidRPr="00BD3F1B" w:rsidRDefault="003C72FC" w:rsidP="00B33F52">
      <w:pPr>
        <w:pStyle w:val="ListParagraph"/>
        <w:numPr>
          <w:ilvl w:val="1"/>
          <w:numId w:val="1"/>
        </w:numPr>
        <w:spacing w:line="480" w:lineRule="auto"/>
        <w:jc w:val="both"/>
      </w:pPr>
      <w:r w:rsidRPr="00BD3F1B">
        <w:t>“Week 3- Word Knowledge”</w:t>
      </w:r>
    </w:p>
    <w:p w14:paraId="5F0F9A26" w14:textId="43BE3CA8" w:rsidR="003C72FC" w:rsidRPr="00BD3F1B" w:rsidRDefault="00E7010A" w:rsidP="00B33F52">
      <w:pPr>
        <w:pStyle w:val="ListParagraph"/>
        <w:numPr>
          <w:ilvl w:val="1"/>
          <w:numId w:val="1"/>
        </w:numPr>
        <w:spacing w:line="480" w:lineRule="auto"/>
        <w:jc w:val="both"/>
      </w:pPr>
      <w:r w:rsidRPr="00BD3F1B">
        <w:t xml:space="preserve"> </w:t>
      </w:r>
      <w:r w:rsidR="003C72FC" w:rsidRPr="00BD3F1B">
        <w:t>“Week 4- Paragraph Comprehension”</w:t>
      </w:r>
    </w:p>
    <w:p w14:paraId="0ADAEA85" w14:textId="77777777" w:rsidR="003C72FC" w:rsidRPr="00BD3F1B" w:rsidRDefault="003C72FC" w:rsidP="00B33F52">
      <w:pPr>
        <w:pStyle w:val="ListParagraph"/>
        <w:numPr>
          <w:ilvl w:val="0"/>
          <w:numId w:val="1"/>
        </w:numPr>
        <w:spacing w:line="480" w:lineRule="auto"/>
        <w:jc w:val="both"/>
      </w:pPr>
      <w:r w:rsidRPr="00BD3F1B">
        <w:t>Module 3- The Math Crawl</w:t>
      </w:r>
    </w:p>
    <w:p w14:paraId="0B6397A8" w14:textId="77777777" w:rsidR="003C72FC" w:rsidRPr="00BD3F1B" w:rsidRDefault="003C72FC" w:rsidP="00B33F52">
      <w:pPr>
        <w:pStyle w:val="ListParagraph"/>
        <w:numPr>
          <w:ilvl w:val="1"/>
          <w:numId w:val="1"/>
        </w:numPr>
        <w:spacing w:line="480" w:lineRule="auto"/>
        <w:jc w:val="both"/>
      </w:pPr>
      <w:r w:rsidRPr="00BD3F1B">
        <w:t>“Week 5- Arithmetic Reasoning”</w:t>
      </w:r>
    </w:p>
    <w:p w14:paraId="551C45B7" w14:textId="7429BFD6" w:rsidR="003C72FC" w:rsidRPr="00BD3F1B" w:rsidRDefault="00E7010A" w:rsidP="00B33F52">
      <w:pPr>
        <w:pStyle w:val="ListParagraph"/>
        <w:numPr>
          <w:ilvl w:val="1"/>
          <w:numId w:val="1"/>
        </w:numPr>
        <w:spacing w:line="480" w:lineRule="auto"/>
        <w:jc w:val="both"/>
      </w:pPr>
      <w:r w:rsidRPr="00BD3F1B">
        <w:t xml:space="preserve"> </w:t>
      </w:r>
      <w:r w:rsidR="003C72FC" w:rsidRPr="00BD3F1B">
        <w:t xml:space="preserve">“Week 6- Math Knowledge” </w:t>
      </w:r>
    </w:p>
    <w:p w14:paraId="36F85E0C" w14:textId="77777777" w:rsidR="003C72FC" w:rsidRPr="00BD3F1B" w:rsidRDefault="003C72FC" w:rsidP="00B33F52">
      <w:pPr>
        <w:pStyle w:val="ListParagraph"/>
        <w:numPr>
          <w:ilvl w:val="0"/>
          <w:numId w:val="1"/>
        </w:numPr>
        <w:spacing w:line="480" w:lineRule="auto"/>
        <w:jc w:val="both"/>
      </w:pPr>
      <w:r w:rsidRPr="00BD3F1B">
        <w:t>Module 4- The Science and Technical Ladder</w:t>
      </w:r>
    </w:p>
    <w:p w14:paraId="713CD483" w14:textId="77777777" w:rsidR="003C72FC" w:rsidRPr="00BD3F1B" w:rsidRDefault="003C72FC" w:rsidP="00B33F52">
      <w:pPr>
        <w:pStyle w:val="ListParagraph"/>
        <w:numPr>
          <w:ilvl w:val="1"/>
          <w:numId w:val="1"/>
        </w:numPr>
        <w:spacing w:line="480" w:lineRule="auto"/>
        <w:jc w:val="both"/>
      </w:pPr>
      <w:r w:rsidRPr="00BD3F1B">
        <w:t>“Week 7- Generally Speaking”</w:t>
      </w:r>
    </w:p>
    <w:p w14:paraId="2C07B6FA" w14:textId="00B16789" w:rsidR="003C72FC" w:rsidRPr="00BD3F1B" w:rsidRDefault="00E7010A" w:rsidP="00B33F52">
      <w:pPr>
        <w:pStyle w:val="ListParagraph"/>
        <w:numPr>
          <w:ilvl w:val="1"/>
          <w:numId w:val="1"/>
        </w:numPr>
        <w:spacing w:line="480" w:lineRule="auto"/>
        <w:jc w:val="both"/>
      </w:pPr>
      <w:r w:rsidRPr="00BD3F1B">
        <w:t xml:space="preserve"> </w:t>
      </w:r>
      <w:r w:rsidR="003C72FC" w:rsidRPr="00BD3F1B">
        <w:t>“Week 8- The Technological Sprint</w:t>
      </w:r>
    </w:p>
    <w:p w14:paraId="7FA2E808" w14:textId="30DDB0BD" w:rsidR="003C72FC" w:rsidRPr="00BD3F1B" w:rsidRDefault="00E7010A" w:rsidP="00B33F52">
      <w:pPr>
        <w:pStyle w:val="ListParagraph"/>
        <w:numPr>
          <w:ilvl w:val="0"/>
          <w:numId w:val="1"/>
        </w:numPr>
        <w:spacing w:line="480" w:lineRule="auto"/>
        <w:jc w:val="both"/>
      </w:pPr>
      <w:r w:rsidRPr="00BD3F1B">
        <w:t xml:space="preserve"> </w:t>
      </w:r>
      <w:r w:rsidR="003C72FC" w:rsidRPr="00BD3F1B">
        <w:t>“Post-Course: The Finish Line”</w:t>
      </w:r>
    </w:p>
    <w:p w14:paraId="6178BBBB" w14:textId="354B8FFD" w:rsidR="003C72FC" w:rsidRPr="00BD3F1B" w:rsidRDefault="003C72FC" w:rsidP="00B33F52">
      <w:pPr>
        <w:pStyle w:val="ListParagraph"/>
        <w:numPr>
          <w:ilvl w:val="1"/>
          <w:numId w:val="1"/>
        </w:numPr>
        <w:spacing w:line="480" w:lineRule="auto"/>
        <w:jc w:val="both"/>
      </w:pPr>
      <w:r w:rsidRPr="00BD3F1B">
        <w:t>In this post week students will take their last practice ASVAB of the course and reflect on their progress if so desired</w:t>
      </w:r>
    </w:p>
    <w:p w14:paraId="6C33A3F0" w14:textId="77777777" w:rsidR="00B33F52" w:rsidRDefault="00B33F52" w:rsidP="00B33F52">
      <w:pPr>
        <w:spacing w:line="480" w:lineRule="auto"/>
        <w:rPr>
          <w:rFonts w:eastAsiaTheme="minorEastAsia"/>
          <w:b/>
        </w:rPr>
      </w:pPr>
    </w:p>
    <w:p w14:paraId="112F9270" w14:textId="77777777" w:rsidR="00DD6E90" w:rsidRPr="00BD3F1B" w:rsidRDefault="00DD6E90" w:rsidP="00B33F52">
      <w:pPr>
        <w:spacing w:line="480" w:lineRule="auto"/>
        <w:rPr>
          <w:rFonts w:eastAsiaTheme="minorEastAsia"/>
          <w:b/>
        </w:rPr>
      </w:pPr>
      <w:r w:rsidRPr="00BD3F1B">
        <w:rPr>
          <w:rFonts w:eastAsiaTheme="minorEastAsia"/>
          <w:b/>
        </w:rPr>
        <w:t>Roles of Team Members</w:t>
      </w:r>
    </w:p>
    <w:tbl>
      <w:tblPr>
        <w:tblW w:w="8280" w:type="dxa"/>
        <w:tblCellMar>
          <w:left w:w="0" w:type="dxa"/>
          <w:right w:w="0" w:type="dxa"/>
        </w:tblCellMar>
        <w:tblLook w:val="0420" w:firstRow="1" w:lastRow="0" w:firstColumn="0" w:lastColumn="0" w:noHBand="0" w:noVBand="1"/>
      </w:tblPr>
      <w:tblGrid>
        <w:gridCol w:w="3120"/>
        <w:gridCol w:w="2880"/>
        <w:gridCol w:w="2280"/>
      </w:tblGrid>
      <w:tr w:rsidR="00766532" w:rsidRPr="00BD3F1B" w14:paraId="30F85D83" w14:textId="77777777" w:rsidTr="00F72E44">
        <w:trPr>
          <w:trHeight w:val="600"/>
        </w:trPr>
        <w:tc>
          <w:tcPr>
            <w:tcW w:w="3120"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14:paraId="539BA281" w14:textId="56061244" w:rsidR="00766532" w:rsidRPr="00BD3F1B" w:rsidRDefault="00766532" w:rsidP="00B33F52">
            <w:pPr>
              <w:spacing w:line="480" w:lineRule="auto"/>
              <w:rPr>
                <w:rFonts w:eastAsiaTheme="minorEastAsia"/>
                <w:b/>
              </w:rPr>
            </w:pPr>
            <w:r w:rsidRPr="00BD3F1B">
              <w:rPr>
                <w:rFonts w:eastAsiaTheme="minorEastAsia"/>
                <w:b/>
                <w:bCs/>
              </w:rPr>
              <w:t>Position</w:t>
            </w:r>
          </w:p>
        </w:tc>
        <w:tc>
          <w:tcPr>
            <w:tcW w:w="2880"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14:paraId="14B5FE37" w14:textId="52E20078" w:rsidR="00766532" w:rsidRPr="00BD3F1B" w:rsidRDefault="00766532" w:rsidP="00B33F52">
            <w:pPr>
              <w:spacing w:line="480" w:lineRule="auto"/>
              <w:rPr>
                <w:rFonts w:eastAsiaTheme="minorEastAsia"/>
                <w:b/>
              </w:rPr>
            </w:pPr>
            <w:r w:rsidRPr="00BD3F1B">
              <w:rPr>
                <w:rFonts w:eastAsiaTheme="minorEastAsia"/>
                <w:b/>
                <w:bCs/>
              </w:rPr>
              <w:t>Role</w:t>
            </w:r>
          </w:p>
        </w:tc>
        <w:tc>
          <w:tcPr>
            <w:tcW w:w="2280"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14:paraId="24E6452C" w14:textId="75FC3985" w:rsidR="00766532" w:rsidRPr="00BD3F1B" w:rsidRDefault="00766532" w:rsidP="00B33F52">
            <w:pPr>
              <w:spacing w:line="480" w:lineRule="auto"/>
              <w:rPr>
                <w:rFonts w:eastAsiaTheme="minorEastAsia"/>
                <w:b/>
              </w:rPr>
            </w:pPr>
            <w:r w:rsidRPr="00BD3F1B">
              <w:rPr>
                <w:rFonts w:eastAsiaTheme="minorEastAsia"/>
                <w:b/>
                <w:bCs/>
              </w:rPr>
              <w:t>Filled?</w:t>
            </w:r>
          </w:p>
        </w:tc>
      </w:tr>
      <w:tr w:rsidR="00766532" w:rsidRPr="00BD3F1B" w14:paraId="3ED70C5A" w14:textId="77777777" w:rsidTr="00766532">
        <w:trPr>
          <w:trHeight w:val="642"/>
        </w:trPr>
        <w:tc>
          <w:tcPr>
            <w:tcW w:w="312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43282ABB" w14:textId="28953FAA" w:rsidR="00766532" w:rsidRPr="00BD3F1B" w:rsidRDefault="00C5561C" w:rsidP="00B33F52">
            <w:pPr>
              <w:spacing w:line="480" w:lineRule="auto"/>
              <w:rPr>
                <w:rFonts w:eastAsiaTheme="minorEastAsia"/>
                <w:b/>
              </w:rPr>
            </w:pPr>
            <w:r w:rsidRPr="00BD3F1B">
              <w:rPr>
                <w:rFonts w:eastAsiaTheme="minorEastAsia"/>
                <w:b/>
              </w:rPr>
              <w:t xml:space="preserve">Project </w:t>
            </w:r>
            <w:r w:rsidR="00F96A9C">
              <w:rPr>
                <w:rFonts w:eastAsiaTheme="minorEastAsia"/>
                <w:b/>
              </w:rPr>
              <w:t>Leader/</w:t>
            </w:r>
            <w:r w:rsidRPr="00BD3F1B">
              <w:rPr>
                <w:rFonts w:eastAsiaTheme="minorEastAsia"/>
                <w:b/>
              </w:rPr>
              <w:t>Manager (myself)</w:t>
            </w:r>
          </w:p>
        </w:tc>
        <w:tc>
          <w:tcPr>
            <w:tcW w:w="288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76FC0DFD" w14:textId="28C06428" w:rsidR="00766532" w:rsidRPr="004F0767" w:rsidRDefault="007D5FD3" w:rsidP="00B33F52">
            <w:pPr>
              <w:spacing w:line="480" w:lineRule="auto"/>
              <w:rPr>
                <w:rFonts w:eastAsiaTheme="minorEastAsia"/>
              </w:rPr>
            </w:pPr>
            <w:r w:rsidRPr="004F0767">
              <w:rPr>
                <w:rFonts w:eastAsiaTheme="minorEastAsia"/>
              </w:rPr>
              <w:t>Manage the progress of</w:t>
            </w:r>
            <w:r w:rsidR="00F96A9C" w:rsidRPr="004F0767">
              <w:rPr>
                <w:rFonts w:eastAsiaTheme="minorEastAsia"/>
              </w:rPr>
              <w:t xml:space="preserve"> the project and report to project leader, while also promoting teamwork within departments</w:t>
            </w:r>
          </w:p>
        </w:tc>
        <w:tc>
          <w:tcPr>
            <w:tcW w:w="228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3EB19CBE" w14:textId="74E6D8ED" w:rsidR="00766532" w:rsidRPr="007D5FD3" w:rsidRDefault="007D5FD3" w:rsidP="00B33F52">
            <w:pPr>
              <w:spacing w:line="480" w:lineRule="auto"/>
              <w:rPr>
                <w:rFonts w:eastAsiaTheme="minorEastAsia"/>
              </w:rPr>
            </w:pPr>
            <w:r w:rsidRPr="007D5FD3">
              <w:rPr>
                <w:rFonts w:eastAsiaTheme="minorEastAsia"/>
              </w:rPr>
              <w:t>YES</w:t>
            </w:r>
          </w:p>
        </w:tc>
      </w:tr>
      <w:tr w:rsidR="00766532" w:rsidRPr="00BD3F1B" w14:paraId="199CBA8C" w14:textId="77777777" w:rsidTr="00F72E44">
        <w:trPr>
          <w:trHeight w:val="672"/>
        </w:trPr>
        <w:tc>
          <w:tcPr>
            <w:tcW w:w="312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5B019EAD" w14:textId="5D0F21EC" w:rsidR="00766532" w:rsidRPr="00BD3F1B" w:rsidRDefault="00F96A9C" w:rsidP="00B33F52">
            <w:pPr>
              <w:spacing w:line="480" w:lineRule="auto"/>
              <w:rPr>
                <w:rFonts w:eastAsiaTheme="minorEastAsia"/>
                <w:b/>
              </w:rPr>
            </w:pPr>
            <w:r>
              <w:rPr>
                <w:rFonts w:eastAsiaTheme="minorEastAsia"/>
                <w:b/>
              </w:rPr>
              <w:t>Director</w:t>
            </w:r>
          </w:p>
        </w:tc>
        <w:tc>
          <w:tcPr>
            <w:tcW w:w="28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683145B6" w14:textId="2A7D772F" w:rsidR="00766532" w:rsidRPr="004F0767" w:rsidRDefault="00F96A9C" w:rsidP="00B33F52">
            <w:pPr>
              <w:spacing w:line="480" w:lineRule="auto"/>
              <w:rPr>
                <w:rFonts w:eastAsiaTheme="minorEastAsia"/>
              </w:rPr>
            </w:pPr>
            <w:r w:rsidRPr="004F0767">
              <w:rPr>
                <w:rFonts w:eastAsiaTheme="minorEastAsia"/>
              </w:rPr>
              <w:t>Approve proposal, allocate funds, oversee “bigger picture”</w:t>
            </w:r>
          </w:p>
        </w:tc>
        <w:tc>
          <w:tcPr>
            <w:tcW w:w="22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454C426A" w14:textId="571CF495" w:rsidR="00766532" w:rsidRPr="007D5FD3" w:rsidRDefault="007D5FD3" w:rsidP="00B33F52">
            <w:pPr>
              <w:spacing w:line="480" w:lineRule="auto"/>
              <w:rPr>
                <w:rFonts w:eastAsiaTheme="minorEastAsia"/>
              </w:rPr>
            </w:pPr>
            <w:r w:rsidRPr="007D5FD3">
              <w:rPr>
                <w:rFonts w:eastAsiaTheme="minorEastAsia"/>
              </w:rPr>
              <w:t>YES</w:t>
            </w:r>
          </w:p>
        </w:tc>
      </w:tr>
      <w:tr w:rsidR="00766532" w:rsidRPr="00BD3F1B" w14:paraId="47041F47" w14:textId="77777777" w:rsidTr="00F72E44">
        <w:trPr>
          <w:trHeight w:val="672"/>
        </w:trPr>
        <w:tc>
          <w:tcPr>
            <w:tcW w:w="312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0936C43D" w14:textId="6A1D4833" w:rsidR="00766532" w:rsidRPr="00BD3F1B" w:rsidRDefault="00C5561C" w:rsidP="00B33F52">
            <w:pPr>
              <w:spacing w:line="480" w:lineRule="auto"/>
              <w:rPr>
                <w:rFonts w:eastAsiaTheme="minorEastAsia"/>
                <w:b/>
              </w:rPr>
            </w:pPr>
            <w:r w:rsidRPr="00BD3F1B">
              <w:rPr>
                <w:rFonts w:eastAsiaTheme="minorEastAsia"/>
                <w:b/>
              </w:rPr>
              <w:t>Instructional Designer</w:t>
            </w:r>
          </w:p>
        </w:tc>
        <w:tc>
          <w:tcPr>
            <w:tcW w:w="28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15130F76" w14:textId="6EF74411" w:rsidR="00766532" w:rsidRPr="005D5096" w:rsidRDefault="005D5096" w:rsidP="00B33F52">
            <w:pPr>
              <w:spacing w:line="480" w:lineRule="auto"/>
              <w:rPr>
                <w:rFonts w:eastAsiaTheme="minorEastAsia"/>
              </w:rPr>
            </w:pPr>
            <w:r w:rsidRPr="005D5096">
              <w:rPr>
                <w:rFonts w:eastAsiaTheme="minorEastAsia"/>
              </w:rPr>
              <w:t xml:space="preserve">Work closely with faculty and partners to follow ADDIE model </w:t>
            </w:r>
            <w:r w:rsidR="00ED1F6E">
              <w:rPr>
                <w:rFonts w:eastAsiaTheme="minorEastAsia"/>
              </w:rPr>
              <w:t>and develop a course using tools and resources available</w:t>
            </w:r>
          </w:p>
        </w:tc>
        <w:tc>
          <w:tcPr>
            <w:tcW w:w="22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1744D74B" w14:textId="59D90A1A" w:rsidR="00766532" w:rsidRPr="005D5096" w:rsidRDefault="005D5096" w:rsidP="00B33F52">
            <w:pPr>
              <w:spacing w:line="480" w:lineRule="auto"/>
              <w:rPr>
                <w:rFonts w:eastAsiaTheme="minorEastAsia"/>
              </w:rPr>
            </w:pPr>
            <w:r w:rsidRPr="005D5096">
              <w:rPr>
                <w:rFonts w:eastAsiaTheme="minorEastAsia"/>
              </w:rPr>
              <w:t>NO</w:t>
            </w:r>
          </w:p>
        </w:tc>
      </w:tr>
      <w:tr w:rsidR="00766532" w:rsidRPr="00BD3F1B" w14:paraId="28F4E30B" w14:textId="77777777" w:rsidTr="00F72E44">
        <w:trPr>
          <w:trHeight w:val="672"/>
        </w:trPr>
        <w:tc>
          <w:tcPr>
            <w:tcW w:w="312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0430C821" w14:textId="33A2B70A" w:rsidR="00766532" w:rsidRPr="00BD3F1B" w:rsidRDefault="00C5561C" w:rsidP="00B33F52">
            <w:pPr>
              <w:spacing w:line="480" w:lineRule="auto"/>
              <w:rPr>
                <w:rFonts w:eastAsiaTheme="minorEastAsia"/>
                <w:b/>
              </w:rPr>
            </w:pPr>
            <w:r w:rsidRPr="00BD3F1B">
              <w:rPr>
                <w:rFonts w:eastAsiaTheme="minorEastAsia"/>
                <w:b/>
              </w:rPr>
              <w:t>Web</w:t>
            </w:r>
            <w:r w:rsidR="00ED1F6E">
              <w:rPr>
                <w:rFonts w:eastAsiaTheme="minorEastAsia"/>
                <w:b/>
              </w:rPr>
              <w:t>/Graphic</w:t>
            </w:r>
            <w:r w:rsidRPr="00BD3F1B">
              <w:rPr>
                <w:rFonts w:eastAsiaTheme="minorEastAsia"/>
                <w:b/>
              </w:rPr>
              <w:t xml:space="preserve"> designer</w:t>
            </w:r>
          </w:p>
        </w:tc>
        <w:tc>
          <w:tcPr>
            <w:tcW w:w="28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5E7A4B97" w14:textId="0A63D9AF" w:rsidR="00766532" w:rsidRPr="00ED1F6E" w:rsidRDefault="00ED1F6E" w:rsidP="00B33F52">
            <w:pPr>
              <w:spacing w:line="480" w:lineRule="auto"/>
              <w:rPr>
                <w:rFonts w:eastAsiaTheme="minorEastAsia"/>
              </w:rPr>
            </w:pPr>
            <w:r w:rsidRPr="00ED1F6E">
              <w:rPr>
                <w:rFonts w:eastAsiaTheme="minorEastAsia"/>
              </w:rPr>
              <w:t xml:space="preserve">Design modules and </w:t>
            </w:r>
            <w:r>
              <w:rPr>
                <w:rFonts w:eastAsiaTheme="minorEastAsia"/>
              </w:rPr>
              <w:t>webpages</w:t>
            </w:r>
            <w:r w:rsidRPr="00ED1F6E">
              <w:rPr>
                <w:rFonts w:eastAsiaTheme="minorEastAsia"/>
              </w:rPr>
              <w:t>, as well as graphics and audio that will be used for classroom activities</w:t>
            </w:r>
          </w:p>
        </w:tc>
        <w:tc>
          <w:tcPr>
            <w:tcW w:w="22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14B2C323" w14:textId="2491A110" w:rsidR="00766532" w:rsidRPr="00ED1F6E" w:rsidRDefault="00ED1F6E" w:rsidP="00B33F52">
            <w:pPr>
              <w:spacing w:line="480" w:lineRule="auto"/>
              <w:rPr>
                <w:rFonts w:eastAsiaTheme="minorEastAsia"/>
              </w:rPr>
            </w:pPr>
            <w:r w:rsidRPr="00ED1F6E">
              <w:rPr>
                <w:rFonts w:eastAsiaTheme="minorEastAsia"/>
              </w:rPr>
              <w:t>NO</w:t>
            </w:r>
          </w:p>
        </w:tc>
      </w:tr>
      <w:tr w:rsidR="00766532" w:rsidRPr="00BD3F1B" w14:paraId="52818501" w14:textId="77777777" w:rsidTr="00F72E44">
        <w:trPr>
          <w:trHeight w:val="672"/>
        </w:trPr>
        <w:tc>
          <w:tcPr>
            <w:tcW w:w="312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55B6E1DB" w14:textId="462AC181" w:rsidR="00766532" w:rsidRPr="00BD3F1B" w:rsidRDefault="00C5561C" w:rsidP="00B33F52">
            <w:pPr>
              <w:spacing w:line="480" w:lineRule="auto"/>
              <w:rPr>
                <w:rFonts w:eastAsiaTheme="minorEastAsia"/>
                <w:b/>
              </w:rPr>
            </w:pPr>
            <w:r w:rsidRPr="00BD3F1B">
              <w:rPr>
                <w:rFonts w:eastAsiaTheme="minorEastAsia"/>
                <w:b/>
              </w:rPr>
              <w:t>Lecturer(s)</w:t>
            </w:r>
          </w:p>
        </w:tc>
        <w:tc>
          <w:tcPr>
            <w:tcW w:w="28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640365A0" w14:textId="26C55D8D" w:rsidR="00766532" w:rsidRPr="00F96A9C" w:rsidRDefault="00F96A9C" w:rsidP="00B33F52">
            <w:pPr>
              <w:spacing w:line="480" w:lineRule="auto"/>
              <w:rPr>
                <w:rFonts w:eastAsiaTheme="minorEastAsia"/>
              </w:rPr>
            </w:pPr>
            <w:r w:rsidRPr="00F96A9C">
              <w:rPr>
                <w:rFonts w:eastAsiaTheme="minorEastAsia"/>
              </w:rPr>
              <w:t>Consult on course content, resources, and media</w:t>
            </w:r>
          </w:p>
        </w:tc>
        <w:tc>
          <w:tcPr>
            <w:tcW w:w="22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2D7C7044" w14:textId="7CA2ACD5" w:rsidR="00766532" w:rsidRPr="00F96A9C" w:rsidRDefault="00F96A9C" w:rsidP="00B33F52">
            <w:pPr>
              <w:spacing w:line="480" w:lineRule="auto"/>
              <w:rPr>
                <w:rFonts w:eastAsiaTheme="minorEastAsia"/>
              </w:rPr>
            </w:pPr>
            <w:r w:rsidRPr="00F96A9C">
              <w:rPr>
                <w:rFonts w:eastAsiaTheme="minorEastAsia"/>
              </w:rPr>
              <w:t>NO</w:t>
            </w:r>
          </w:p>
        </w:tc>
      </w:tr>
      <w:tr w:rsidR="00766532" w:rsidRPr="00BD3F1B" w14:paraId="6FF9547D" w14:textId="77777777" w:rsidTr="00F72E44">
        <w:trPr>
          <w:trHeight w:val="672"/>
        </w:trPr>
        <w:tc>
          <w:tcPr>
            <w:tcW w:w="312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4DD85E17" w14:textId="5648EE01" w:rsidR="00766532" w:rsidRPr="00BD3F1B" w:rsidRDefault="00C5561C" w:rsidP="00B33F52">
            <w:pPr>
              <w:spacing w:line="480" w:lineRule="auto"/>
              <w:rPr>
                <w:rFonts w:eastAsiaTheme="minorEastAsia"/>
                <w:b/>
              </w:rPr>
            </w:pPr>
            <w:r w:rsidRPr="00BD3F1B">
              <w:rPr>
                <w:rFonts w:eastAsiaTheme="minorEastAsia"/>
                <w:b/>
              </w:rPr>
              <w:t>Community Partners</w:t>
            </w:r>
            <w:r w:rsidR="00F96A9C">
              <w:rPr>
                <w:rFonts w:eastAsiaTheme="minorEastAsia"/>
                <w:b/>
              </w:rPr>
              <w:t xml:space="preserve">- Army, navy, Marines, </w:t>
            </w:r>
            <w:proofErr w:type="spellStart"/>
            <w:r w:rsidR="00F96A9C">
              <w:rPr>
                <w:rFonts w:eastAsiaTheme="minorEastAsia"/>
                <w:b/>
              </w:rPr>
              <w:t>Airforce</w:t>
            </w:r>
            <w:proofErr w:type="spellEnd"/>
            <w:r w:rsidR="00F96A9C">
              <w:rPr>
                <w:rFonts w:eastAsiaTheme="minorEastAsia"/>
                <w:b/>
              </w:rPr>
              <w:t>, and Coast Guard recruiting offices</w:t>
            </w:r>
          </w:p>
        </w:tc>
        <w:tc>
          <w:tcPr>
            <w:tcW w:w="28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009E7353" w14:textId="086D9744" w:rsidR="00766532" w:rsidRPr="00F96A9C" w:rsidRDefault="00F96A9C" w:rsidP="00B33F52">
            <w:pPr>
              <w:spacing w:line="480" w:lineRule="auto"/>
              <w:rPr>
                <w:rFonts w:eastAsiaTheme="minorEastAsia"/>
              </w:rPr>
            </w:pPr>
            <w:r w:rsidRPr="00F96A9C">
              <w:rPr>
                <w:rFonts w:eastAsiaTheme="minorEastAsia"/>
              </w:rPr>
              <w:t>Provide panel participants and students for prototype evaluation.  Participate in content development to develop course objectives</w:t>
            </w:r>
          </w:p>
        </w:tc>
        <w:tc>
          <w:tcPr>
            <w:tcW w:w="22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59BAD7E5" w14:textId="0A0509AE" w:rsidR="00766532" w:rsidRPr="00F96A9C" w:rsidRDefault="00F96A9C" w:rsidP="00B33F52">
            <w:pPr>
              <w:spacing w:line="480" w:lineRule="auto"/>
              <w:rPr>
                <w:rFonts w:eastAsiaTheme="minorEastAsia"/>
              </w:rPr>
            </w:pPr>
            <w:r w:rsidRPr="00F96A9C">
              <w:rPr>
                <w:rFonts w:eastAsiaTheme="minorEastAsia"/>
              </w:rPr>
              <w:t>YES</w:t>
            </w:r>
          </w:p>
        </w:tc>
      </w:tr>
    </w:tbl>
    <w:p w14:paraId="24B845ED" w14:textId="77777777" w:rsidR="00610663" w:rsidRPr="00BD3F1B" w:rsidRDefault="00610663" w:rsidP="00B33F52">
      <w:pPr>
        <w:spacing w:line="480" w:lineRule="auto"/>
        <w:rPr>
          <w:rFonts w:eastAsiaTheme="minorEastAsia"/>
          <w:b/>
        </w:rPr>
      </w:pPr>
    </w:p>
    <w:p w14:paraId="69119047" w14:textId="77777777" w:rsidR="00DD6E90" w:rsidRPr="00BD3F1B" w:rsidRDefault="00DD6E90" w:rsidP="00B33F52">
      <w:pPr>
        <w:spacing w:line="480" w:lineRule="auto"/>
        <w:rPr>
          <w:rFonts w:eastAsiaTheme="minorEastAsia"/>
          <w:b/>
        </w:rPr>
      </w:pPr>
      <w:r w:rsidRPr="00BD3F1B">
        <w:rPr>
          <w:rFonts w:eastAsiaTheme="minorEastAsia"/>
          <w:b/>
        </w:rPr>
        <w:t>Role-out plan</w:t>
      </w:r>
    </w:p>
    <w:tbl>
      <w:tblPr>
        <w:tblW w:w="8280" w:type="dxa"/>
        <w:tblCellMar>
          <w:left w:w="0" w:type="dxa"/>
          <w:right w:w="0" w:type="dxa"/>
        </w:tblCellMar>
        <w:tblLook w:val="0420" w:firstRow="1" w:lastRow="0" w:firstColumn="0" w:lastColumn="0" w:noHBand="0" w:noVBand="1"/>
      </w:tblPr>
      <w:tblGrid>
        <w:gridCol w:w="3120"/>
        <w:gridCol w:w="2880"/>
        <w:gridCol w:w="2280"/>
      </w:tblGrid>
      <w:tr w:rsidR="00953F4E" w:rsidRPr="00BD3F1B" w14:paraId="59234D2E" w14:textId="77777777" w:rsidTr="00953F4E">
        <w:trPr>
          <w:trHeight w:val="600"/>
        </w:trPr>
        <w:tc>
          <w:tcPr>
            <w:tcW w:w="3120"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14:paraId="108F9A76" w14:textId="77777777" w:rsidR="00F72E44" w:rsidRPr="00BD3F1B" w:rsidRDefault="00953F4E" w:rsidP="00B33F52">
            <w:pPr>
              <w:spacing w:line="480" w:lineRule="auto"/>
              <w:rPr>
                <w:rFonts w:eastAsiaTheme="minorEastAsia"/>
                <w:b/>
              </w:rPr>
            </w:pPr>
            <w:r w:rsidRPr="00BD3F1B">
              <w:rPr>
                <w:rFonts w:eastAsiaTheme="minorEastAsia"/>
                <w:b/>
                <w:bCs/>
              </w:rPr>
              <w:t>Task</w:t>
            </w:r>
          </w:p>
        </w:tc>
        <w:tc>
          <w:tcPr>
            <w:tcW w:w="2880"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14:paraId="702550D2" w14:textId="77777777" w:rsidR="00F72E44" w:rsidRPr="00BD3F1B" w:rsidRDefault="00953F4E" w:rsidP="00B33F52">
            <w:pPr>
              <w:spacing w:line="480" w:lineRule="auto"/>
              <w:rPr>
                <w:rFonts w:eastAsiaTheme="minorEastAsia"/>
                <w:b/>
              </w:rPr>
            </w:pPr>
            <w:r w:rsidRPr="00BD3F1B">
              <w:rPr>
                <w:rFonts w:eastAsiaTheme="minorEastAsia"/>
                <w:b/>
                <w:bCs/>
              </w:rPr>
              <w:t>Resources Needed</w:t>
            </w:r>
          </w:p>
        </w:tc>
        <w:tc>
          <w:tcPr>
            <w:tcW w:w="2280"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14:paraId="629A6BB8" w14:textId="77777777" w:rsidR="00F72E44" w:rsidRPr="00BD3F1B" w:rsidRDefault="00953F4E" w:rsidP="00B33F52">
            <w:pPr>
              <w:spacing w:line="480" w:lineRule="auto"/>
              <w:rPr>
                <w:rFonts w:eastAsiaTheme="minorEastAsia"/>
                <w:b/>
              </w:rPr>
            </w:pPr>
            <w:r w:rsidRPr="00BD3F1B">
              <w:rPr>
                <w:rFonts w:eastAsiaTheme="minorEastAsia"/>
                <w:b/>
                <w:bCs/>
              </w:rPr>
              <w:t>Dates of completion</w:t>
            </w:r>
          </w:p>
        </w:tc>
      </w:tr>
      <w:tr w:rsidR="00953F4E" w:rsidRPr="00BD3F1B" w14:paraId="538954F3" w14:textId="77777777" w:rsidTr="00953F4E">
        <w:trPr>
          <w:trHeight w:val="1080"/>
        </w:trPr>
        <w:tc>
          <w:tcPr>
            <w:tcW w:w="312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3A54C7A9" w14:textId="77777777" w:rsidR="00F72E44" w:rsidRPr="002135C5" w:rsidRDefault="00953F4E" w:rsidP="00B33F52">
            <w:pPr>
              <w:spacing w:line="480" w:lineRule="auto"/>
              <w:rPr>
                <w:rFonts w:eastAsiaTheme="minorEastAsia"/>
              </w:rPr>
            </w:pPr>
            <w:r w:rsidRPr="002135C5">
              <w:rPr>
                <w:rFonts w:eastAsiaTheme="minorEastAsia"/>
              </w:rPr>
              <w:t xml:space="preserve">Completion of prototype course in </w:t>
            </w:r>
            <w:proofErr w:type="spellStart"/>
            <w:r w:rsidRPr="002135C5">
              <w:rPr>
                <w:rFonts w:eastAsiaTheme="minorEastAsia"/>
              </w:rPr>
              <w:t>Webtycho</w:t>
            </w:r>
            <w:proofErr w:type="spellEnd"/>
          </w:p>
        </w:tc>
        <w:tc>
          <w:tcPr>
            <w:tcW w:w="288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617C7216" w14:textId="246C3FCD" w:rsidR="00F72E44" w:rsidRPr="002135C5" w:rsidRDefault="00953F4E" w:rsidP="00B33F52">
            <w:pPr>
              <w:spacing w:line="480" w:lineRule="auto"/>
              <w:rPr>
                <w:rFonts w:eastAsiaTheme="minorEastAsia"/>
              </w:rPr>
            </w:pPr>
            <w:r w:rsidRPr="002135C5">
              <w:rPr>
                <w:rFonts w:eastAsiaTheme="minorEastAsia"/>
              </w:rPr>
              <w:t xml:space="preserve">Instructional Designer, Peer reviewers, </w:t>
            </w:r>
            <w:r w:rsidR="002135C5" w:rsidRPr="002135C5">
              <w:rPr>
                <w:rFonts w:eastAsiaTheme="minorEastAsia"/>
              </w:rPr>
              <w:t>recruiters</w:t>
            </w:r>
          </w:p>
        </w:tc>
        <w:tc>
          <w:tcPr>
            <w:tcW w:w="2280"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7E31B212" w14:textId="31B751E9" w:rsidR="00F72E44" w:rsidRPr="002135C5" w:rsidRDefault="003A7036" w:rsidP="00B33F52">
            <w:pPr>
              <w:spacing w:line="480" w:lineRule="auto"/>
              <w:rPr>
                <w:rFonts w:eastAsiaTheme="minorEastAsia"/>
              </w:rPr>
            </w:pPr>
            <w:r>
              <w:rPr>
                <w:rFonts w:eastAsiaTheme="minorEastAsia"/>
              </w:rPr>
              <w:t>12/</w:t>
            </w:r>
            <w:r w:rsidR="00C825B6">
              <w:rPr>
                <w:rFonts w:eastAsiaTheme="minorEastAsia"/>
              </w:rPr>
              <w:t>1</w:t>
            </w:r>
            <w:r w:rsidR="00953F4E" w:rsidRPr="002135C5">
              <w:rPr>
                <w:rFonts w:eastAsiaTheme="minorEastAsia"/>
              </w:rPr>
              <w:t>/2012</w:t>
            </w:r>
          </w:p>
        </w:tc>
      </w:tr>
      <w:tr w:rsidR="00953F4E" w:rsidRPr="00BD3F1B" w14:paraId="307E49B8" w14:textId="77777777" w:rsidTr="00953F4E">
        <w:trPr>
          <w:trHeight w:val="672"/>
        </w:trPr>
        <w:tc>
          <w:tcPr>
            <w:tcW w:w="312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568CC438" w14:textId="77777777" w:rsidR="00F72E44" w:rsidRPr="002135C5" w:rsidRDefault="00953F4E" w:rsidP="00B33F52">
            <w:pPr>
              <w:spacing w:line="480" w:lineRule="auto"/>
              <w:rPr>
                <w:rFonts w:eastAsiaTheme="minorEastAsia"/>
              </w:rPr>
            </w:pPr>
            <w:r w:rsidRPr="002135C5">
              <w:rPr>
                <w:rFonts w:eastAsiaTheme="minorEastAsia"/>
              </w:rPr>
              <w:t>Final selection of course content</w:t>
            </w:r>
          </w:p>
        </w:tc>
        <w:tc>
          <w:tcPr>
            <w:tcW w:w="28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71507F4B" w14:textId="77777777" w:rsidR="00F72E44" w:rsidRPr="002135C5" w:rsidRDefault="00953F4E" w:rsidP="00B33F52">
            <w:pPr>
              <w:spacing w:line="480" w:lineRule="auto"/>
              <w:rPr>
                <w:rFonts w:eastAsiaTheme="minorEastAsia"/>
              </w:rPr>
            </w:pPr>
            <w:r w:rsidRPr="002135C5">
              <w:rPr>
                <w:rFonts w:eastAsiaTheme="minorEastAsia"/>
              </w:rPr>
              <w:t>Subject matter experts, instructors, text books, military recruiters</w:t>
            </w:r>
          </w:p>
        </w:tc>
        <w:tc>
          <w:tcPr>
            <w:tcW w:w="22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3830501D" w14:textId="73A1E695" w:rsidR="00F72E44" w:rsidRPr="002135C5" w:rsidRDefault="00C825B6" w:rsidP="00B33F52">
            <w:pPr>
              <w:spacing w:line="480" w:lineRule="auto"/>
              <w:rPr>
                <w:rFonts w:eastAsiaTheme="minorEastAsia"/>
              </w:rPr>
            </w:pPr>
            <w:r>
              <w:rPr>
                <w:rFonts w:eastAsiaTheme="minorEastAsia"/>
              </w:rPr>
              <w:t>1/15/2013</w:t>
            </w:r>
          </w:p>
        </w:tc>
      </w:tr>
      <w:tr w:rsidR="00953F4E" w:rsidRPr="00BD3F1B" w14:paraId="09B2711C" w14:textId="77777777" w:rsidTr="00953F4E">
        <w:trPr>
          <w:trHeight w:val="672"/>
        </w:trPr>
        <w:tc>
          <w:tcPr>
            <w:tcW w:w="312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77DEE1DF" w14:textId="77777777" w:rsidR="00F72E44" w:rsidRPr="002135C5" w:rsidRDefault="00953F4E" w:rsidP="00B33F52">
            <w:pPr>
              <w:spacing w:line="480" w:lineRule="auto"/>
              <w:rPr>
                <w:rFonts w:eastAsiaTheme="minorEastAsia"/>
              </w:rPr>
            </w:pPr>
            <w:r w:rsidRPr="002135C5">
              <w:rPr>
                <w:rFonts w:eastAsiaTheme="minorEastAsia"/>
              </w:rPr>
              <w:t>Development of learning activities</w:t>
            </w:r>
          </w:p>
        </w:tc>
        <w:tc>
          <w:tcPr>
            <w:tcW w:w="28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3C8C1389" w14:textId="77777777" w:rsidR="00F72E44" w:rsidRPr="002135C5" w:rsidRDefault="00953F4E" w:rsidP="00B33F52">
            <w:pPr>
              <w:spacing w:line="480" w:lineRule="auto"/>
              <w:rPr>
                <w:rFonts w:eastAsiaTheme="minorEastAsia"/>
              </w:rPr>
            </w:pPr>
            <w:r w:rsidRPr="002135C5">
              <w:rPr>
                <w:rFonts w:eastAsiaTheme="minorEastAsia"/>
              </w:rPr>
              <w:t>Subject matter experts, instructors, text books</w:t>
            </w:r>
          </w:p>
        </w:tc>
        <w:tc>
          <w:tcPr>
            <w:tcW w:w="22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64D63B6B" w14:textId="1DC625E9" w:rsidR="00F72E44" w:rsidRPr="002135C5" w:rsidRDefault="00C825B6" w:rsidP="00B33F52">
            <w:pPr>
              <w:spacing w:line="480" w:lineRule="auto"/>
              <w:rPr>
                <w:rFonts w:eastAsiaTheme="minorEastAsia"/>
              </w:rPr>
            </w:pPr>
            <w:r>
              <w:rPr>
                <w:rFonts w:eastAsiaTheme="minorEastAsia"/>
              </w:rPr>
              <w:t>2</w:t>
            </w:r>
            <w:r w:rsidR="002F55BB">
              <w:rPr>
                <w:rFonts w:eastAsiaTheme="minorEastAsia"/>
              </w:rPr>
              <w:t>/15</w:t>
            </w:r>
            <w:r w:rsidR="00953F4E" w:rsidRPr="002135C5">
              <w:rPr>
                <w:rFonts w:eastAsiaTheme="minorEastAsia"/>
              </w:rPr>
              <w:t>/201</w:t>
            </w:r>
            <w:r w:rsidR="002F55BB">
              <w:rPr>
                <w:rFonts w:eastAsiaTheme="minorEastAsia"/>
              </w:rPr>
              <w:t>3</w:t>
            </w:r>
          </w:p>
        </w:tc>
      </w:tr>
      <w:tr w:rsidR="00953F4E" w:rsidRPr="00BD3F1B" w14:paraId="44C9BDE5" w14:textId="77777777" w:rsidTr="00953F4E">
        <w:trPr>
          <w:trHeight w:val="672"/>
        </w:trPr>
        <w:tc>
          <w:tcPr>
            <w:tcW w:w="312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1DA9EE9B" w14:textId="0C8CCB12" w:rsidR="00F72E44" w:rsidRPr="002135C5" w:rsidRDefault="00953F4E" w:rsidP="00B33F52">
            <w:pPr>
              <w:spacing w:line="480" w:lineRule="auto"/>
              <w:rPr>
                <w:rFonts w:eastAsiaTheme="minorEastAsia"/>
              </w:rPr>
            </w:pPr>
            <w:r w:rsidRPr="002135C5">
              <w:rPr>
                <w:rFonts w:eastAsiaTheme="minorEastAsia"/>
              </w:rPr>
              <w:t>Final implementation and testing</w:t>
            </w:r>
          </w:p>
        </w:tc>
        <w:tc>
          <w:tcPr>
            <w:tcW w:w="28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1B3362F6" w14:textId="77777777" w:rsidR="00F72E44" w:rsidRPr="002135C5" w:rsidRDefault="00953F4E" w:rsidP="00B33F52">
            <w:pPr>
              <w:spacing w:line="480" w:lineRule="auto"/>
              <w:rPr>
                <w:rFonts w:eastAsiaTheme="minorEastAsia"/>
              </w:rPr>
            </w:pPr>
            <w:r w:rsidRPr="002135C5">
              <w:rPr>
                <w:rFonts w:eastAsiaTheme="minorEastAsia"/>
              </w:rPr>
              <w:t>ID, BSC IT technicians, instructors, online learning department support</w:t>
            </w:r>
          </w:p>
        </w:tc>
        <w:tc>
          <w:tcPr>
            <w:tcW w:w="22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1D68491E" w14:textId="76C795EE" w:rsidR="00F72E44" w:rsidRPr="002135C5" w:rsidRDefault="00C825B6" w:rsidP="00B33F52">
            <w:pPr>
              <w:spacing w:line="480" w:lineRule="auto"/>
              <w:rPr>
                <w:rFonts w:eastAsiaTheme="minorEastAsia"/>
              </w:rPr>
            </w:pPr>
            <w:r>
              <w:rPr>
                <w:rFonts w:eastAsiaTheme="minorEastAsia"/>
              </w:rPr>
              <w:t>3/1- 4</w:t>
            </w:r>
            <w:r w:rsidR="00953F4E" w:rsidRPr="002135C5">
              <w:rPr>
                <w:rFonts w:eastAsiaTheme="minorEastAsia"/>
              </w:rPr>
              <w:t>/1/201</w:t>
            </w:r>
            <w:r w:rsidR="002F55BB">
              <w:rPr>
                <w:rFonts w:eastAsiaTheme="minorEastAsia"/>
              </w:rPr>
              <w:t>3</w:t>
            </w:r>
          </w:p>
        </w:tc>
      </w:tr>
      <w:tr w:rsidR="00953F4E" w:rsidRPr="00BD3F1B" w14:paraId="4E73D540" w14:textId="77777777" w:rsidTr="00953F4E">
        <w:trPr>
          <w:trHeight w:val="672"/>
        </w:trPr>
        <w:tc>
          <w:tcPr>
            <w:tcW w:w="312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0A86C44D" w14:textId="77777777" w:rsidR="00F72E44" w:rsidRPr="002135C5" w:rsidRDefault="00953F4E" w:rsidP="00B33F52">
            <w:pPr>
              <w:spacing w:line="480" w:lineRule="auto"/>
              <w:rPr>
                <w:rFonts w:eastAsiaTheme="minorEastAsia"/>
              </w:rPr>
            </w:pPr>
            <w:r w:rsidRPr="002135C5">
              <w:rPr>
                <w:rFonts w:eastAsiaTheme="minorEastAsia"/>
              </w:rPr>
              <w:t>Course Begins</w:t>
            </w:r>
          </w:p>
        </w:tc>
        <w:tc>
          <w:tcPr>
            <w:tcW w:w="28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6F2563BC" w14:textId="77777777" w:rsidR="00F72E44" w:rsidRPr="002135C5" w:rsidRDefault="00953F4E" w:rsidP="00B33F52">
            <w:pPr>
              <w:spacing w:line="480" w:lineRule="auto"/>
              <w:rPr>
                <w:rFonts w:eastAsiaTheme="minorEastAsia"/>
              </w:rPr>
            </w:pPr>
            <w:r w:rsidRPr="002135C5">
              <w:rPr>
                <w:rFonts w:eastAsiaTheme="minorEastAsia"/>
              </w:rPr>
              <w:t>EVERYONE</w:t>
            </w:r>
          </w:p>
        </w:tc>
        <w:tc>
          <w:tcPr>
            <w:tcW w:w="22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0870121F" w14:textId="27D6E561" w:rsidR="00F72E44" w:rsidRPr="002135C5" w:rsidRDefault="002F55BB" w:rsidP="00B33F52">
            <w:pPr>
              <w:spacing w:line="480" w:lineRule="auto"/>
              <w:rPr>
                <w:rFonts w:eastAsiaTheme="minorEastAsia"/>
              </w:rPr>
            </w:pPr>
            <w:r>
              <w:rPr>
                <w:rFonts w:eastAsiaTheme="minorEastAsia"/>
              </w:rPr>
              <w:t>5</w:t>
            </w:r>
            <w:r w:rsidR="00953F4E" w:rsidRPr="002135C5">
              <w:rPr>
                <w:rFonts w:eastAsiaTheme="minorEastAsia"/>
              </w:rPr>
              <w:t>/1/2013</w:t>
            </w:r>
          </w:p>
        </w:tc>
      </w:tr>
      <w:tr w:rsidR="00953F4E" w:rsidRPr="00BD3F1B" w14:paraId="12330795" w14:textId="77777777" w:rsidTr="00953F4E">
        <w:trPr>
          <w:trHeight w:val="672"/>
        </w:trPr>
        <w:tc>
          <w:tcPr>
            <w:tcW w:w="312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4CC8D59C" w14:textId="77777777" w:rsidR="00F72E44" w:rsidRPr="002135C5" w:rsidRDefault="00953F4E" w:rsidP="00B33F52">
            <w:pPr>
              <w:spacing w:line="480" w:lineRule="auto"/>
              <w:rPr>
                <w:rFonts w:eastAsiaTheme="minorEastAsia"/>
              </w:rPr>
            </w:pPr>
            <w:r w:rsidRPr="002135C5">
              <w:rPr>
                <w:rFonts w:eastAsiaTheme="minorEastAsia"/>
              </w:rPr>
              <w:t>Evaluation of Course Effectiveness</w:t>
            </w:r>
          </w:p>
        </w:tc>
        <w:tc>
          <w:tcPr>
            <w:tcW w:w="28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4FB7A7F3" w14:textId="348DD56A" w:rsidR="00953F4E" w:rsidRPr="002135C5" w:rsidRDefault="002F55BB" w:rsidP="00B33F52">
            <w:pPr>
              <w:spacing w:line="480" w:lineRule="auto"/>
              <w:rPr>
                <w:rFonts w:eastAsiaTheme="minorEastAsia"/>
              </w:rPr>
            </w:pPr>
            <w:r>
              <w:rPr>
                <w:rFonts w:eastAsiaTheme="minorEastAsia"/>
              </w:rPr>
              <w:t>Instructional Designer, Faculty</w:t>
            </w:r>
          </w:p>
        </w:tc>
        <w:tc>
          <w:tcPr>
            <w:tcW w:w="2280"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53B2ECCB" w14:textId="77777777" w:rsidR="00F72E44" w:rsidRPr="002135C5" w:rsidRDefault="00953F4E" w:rsidP="00B33F52">
            <w:pPr>
              <w:spacing w:line="480" w:lineRule="auto"/>
              <w:rPr>
                <w:rFonts w:eastAsiaTheme="minorEastAsia"/>
              </w:rPr>
            </w:pPr>
            <w:r w:rsidRPr="002135C5">
              <w:rPr>
                <w:rFonts w:eastAsiaTheme="minorEastAsia"/>
              </w:rPr>
              <w:t>Ongoing</w:t>
            </w:r>
          </w:p>
        </w:tc>
      </w:tr>
      <w:tr w:rsidR="00953F4E" w:rsidRPr="00BD3F1B" w14:paraId="219F41AE" w14:textId="77777777" w:rsidTr="00953F4E">
        <w:trPr>
          <w:trHeight w:val="672"/>
        </w:trPr>
        <w:tc>
          <w:tcPr>
            <w:tcW w:w="312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4AB69ED1" w14:textId="77777777" w:rsidR="00F72E44" w:rsidRPr="002135C5" w:rsidRDefault="00953F4E" w:rsidP="00B33F52">
            <w:pPr>
              <w:spacing w:line="480" w:lineRule="auto"/>
              <w:rPr>
                <w:rFonts w:eastAsiaTheme="minorEastAsia"/>
              </w:rPr>
            </w:pPr>
            <w:r w:rsidRPr="002135C5">
              <w:rPr>
                <w:rFonts w:eastAsiaTheme="minorEastAsia"/>
              </w:rPr>
              <w:t>Marketing and Advertisement</w:t>
            </w:r>
          </w:p>
        </w:tc>
        <w:tc>
          <w:tcPr>
            <w:tcW w:w="28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5AF7A0E6" w14:textId="77777777" w:rsidR="00F72E44" w:rsidRPr="002135C5" w:rsidRDefault="00953F4E" w:rsidP="00B33F52">
            <w:pPr>
              <w:spacing w:line="480" w:lineRule="auto"/>
              <w:rPr>
                <w:rFonts w:eastAsiaTheme="minorEastAsia"/>
              </w:rPr>
            </w:pPr>
            <w:r w:rsidRPr="002135C5">
              <w:rPr>
                <w:rFonts w:eastAsiaTheme="minorEastAsia"/>
              </w:rPr>
              <w:t>Military Recruiters, BSC marketing and communications personnel</w:t>
            </w:r>
          </w:p>
        </w:tc>
        <w:tc>
          <w:tcPr>
            <w:tcW w:w="2280"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68E483C0" w14:textId="77777777" w:rsidR="00F72E44" w:rsidRPr="002135C5" w:rsidRDefault="00953F4E" w:rsidP="00B33F52">
            <w:pPr>
              <w:spacing w:line="480" w:lineRule="auto"/>
              <w:rPr>
                <w:rFonts w:eastAsiaTheme="minorEastAsia"/>
              </w:rPr>
            </w:pPr>
            <w:r w:rsidRPr="002135C5">
              <w:rPr>
                <w:rFonts w:eastAsiaTheme="minorEastAsia"/>
              </w:rPr>
              <w:t xml:space="preserve">Ongoing </w:t>
            </w:r>
          </w:p>
        </w:tc>
      </w:tr>
    </w:tbl>
    <w:p w14:paraId="118A3262" w14:textId="77777777" w:rsidR="004C4927" w:rsidRPr="00BD3F1B" w:rsidRDefault="004C4927" w:rsidP="00B33F52">
      <w:pPr>
        <w:spacing w:line="480" w:lineRule="auto"/>
        <w:jc w:val="both"/>
        <w:rPr>
          <w:rFonts w:eastAsiaTheme="minorEastAsia"/>
          <w:b/>
        </w:rPr>
      </w:pPr>
    </w:p>
    <w:p w14:paraId="4A9602DB" w14:textId="77777777" w:rsidR="004C4927" w:rsidRPr="00BD3F1B" w:rsidRDefault="004C4927" w:rsidP="00B33F52">
      <w:pPr>
        <w:spacing w:line="480" w:lineRule="auto"/>
        <w:jc w:val="both"/>
        <w:rPr>
          <w:b/>
        </w:rPr>
      </w:pPr>
      <w:r w:rsidRPr="00BD3F1B">
        <w:rPr>
          <w:b/>
        </w:rPr>
        <w:t>Conclusion</w:t>
      </w:r>
    </w:p>
    <w:p w14:paraId="77F87415" w14:textId="77777777" w:rsidR="004C4927" w:rsidRPr="00BD3F1B" w:rsidRDefault="004C4927" w:rsidP="00B33F52">
      <w:pPr>
        <w:spacing w:line="480" w:lineRule="auto"/>
        <w:jc w:val="both"/>
      </w:pPr>
      <w:r w:rsidRPr="00BD3F1B">
        <w:t>This design will be one that requires detail, precision, and tact.  While there are many ASVAB courses available to students, this course meets the needs and requirements of a certain type of student that needs an interactive environment in which he or she can learn on his or her own as well as with others, yet in the comfort of his or her own home.  It is critical that this design is able to cover a large amount of material in a short amount of time and that the student is able to meet his or her own personal goals for growth and achievement.</w:t>
      </w:r>
    </w:p>
    <w:p w14:paraId="7A60D69B" w14:textId="77777777" w:rsidR="00716B30" w:rsidRPr="00BD3F1B" w:rsidRDefault="00716B30" w:rsidP="00B33F52">
      <w:pPr>
        <w:spacing w:line="480" w:lineRule="auto"/>
        <w:rPr>
          <w:rFonts w:eastAsiaTheme="minorEastAsia"/>
          <w:b/>
        </w:rPr>
      </w:pPr>
      <w:r w:rsidRPr="00BD3F1B">
        <w:rPr>
          <w:rFonts w:eastAsiaTheme="minorEastAsia"/>
          <w:b/>
        </w:rPr>
        <w:br w:type="page"/>
      </w:r>
    </w:p>
    <w:p w14:paraId="57DC980E" w14:textId="44C23C3C" w:rsidR="00E24111" w:rsidRDefault="00E24111" w:rsidP="00D77950">
      <w:pPr>
        <w:textAlignment w:val="baseline"/>
        <w:rPr>
          <w:b/>
        </w:rPr>
      </w:pPr>
      <w:r w:rsidRPr="00E24111">
        <w:rPr>
          <w:b/>
        </w:rPr>
        <w:t>References</w:t>
      </w:r>
    </w:p>
    <w:p w14:paraId="4B001DCD" w14:textId="77777777" w:rsidR="00B36960" w:rsidRPr="00E24111" w:rsidRDefault="00B36960" w:rsidP="00D77950">
      <w:pPr>
        <w:textAlignment w:val="baseline"/>
        <w:rPr>
          <w:b/>
        </w:rPr>
      </w:pPr>
    </w:p>
    <w:p w14:paraId="0A9628F1" w14:textId="77777777" w:rsidR="00D77950" w:rsidRPr="00BD3F1B" w:rsidRDefault="00D77950" w:rsidP="00D77950">
      <w:pPr>
        <w:textAlignment w:val="baseline"/>
      </w:pPr>
      <w:r w:rsidRPr="00BD3F1B">
        <w:t xml:space="preserve">Ally, M. (2008). </w:t>
      </w:r>
      <w:proofErr w:type="gramStart"/>
      <w:r w:rsidRPr="00BD3F1B">
        <w:t>Foundations of educational theory for online learning.</w:t>
      </w:r>
      <w:proofErr w:type="gramEnd"/>
      <w:r w:rsidRPr="00BD3F1B">
        <w:t xml:space="preserve"> </w:t>
      </w:r>
      <w:proofErr w:type="gramStart"/>
      <w:r w:rsidRPr="00BD3F1B">
        <w:t xml:space="preserve">In T. Anderson </w:t>
      </w:r>
      <w:r w:rsidRPr="00BD3F1B">
        <w:tab/>
        <w:t>(Ed.), </w:t>
      </w:r>
      <w:r w:rsidRPr="00BD3F1B">
        <w:rPr>
          <w:i/>
          <w:iCs/>
        </w:rPr>
        <w:t>The Theory and practice of online learning (2</w:t>
      </w:r>
      <w:r w:rsidRPr="00BD3F1B">
        <w:rPr>
          <w:i/>
          <w:iCs/>
          <w:vertAlign w:val="superscript"/>
        </w:rPr>
        <w:t>nd</w:t>
      </w:r>
      <w:r w:rsidRPr="00BD3F1B">
        <w:rPr>
          <w:i/>
          <w:iCs/>
        </w:rPr>
        <w:t> Ed.) </w:t>
      </w:r>
      <w:r w:rsidRPr="00BD3F1B">
        <w:t>pp. 15-</w:t>
      </w:r>
      <w:r w:rsidRPr="00BD3F1B">
        <w:tab/>
        <w:t>49.</w:t>
      </w:r>
      <w:proofErr w:type="gramEnd"/>
      <w:r w:rsidRPr="00BD3F1B">
        <w:t> Athabasca, </w:t>
      </w:r>
      <w:proofErr w:type="spellStart"/>
      <w:r w:rsidRPr="00BD3F1B">
        <w:t>CA</w:t>
      </w:r>
      <w:proofErr w:type="gramStart"/>
      <w:r w:rsidRPr="00BD3F1B">
        <w:t>:Athabasca</w:t>
      </w:r>
      <w:proofErr w:type="spellEnd"/>
      <w:proofErr w:type="gramEnd"/>
      <w:r w:rsidRPr="00BD3F1B">
        <w:t> University Press. </w:t>
      </w:r>
      <w:r w:rsidRPr="00BD3F1B">
        <w:rPr>
          <w:i/>
          <w:iCs/>
        </w:rPr>
        <w:t xml:space="preserve">Retrieved </w:t>
      </w:r>
      <w:r w:rsidRPr="00BD3F1B">
        <w:rPr>
          <w:i/>
          <w:iCs/>
        </w:rPr>
        <w:tab/>
        <w:t>from</w:t>
      </w:r>
      <w:r w:rsidRPr="00BD3F1B">
        <w:rPr>
          <w:i/>
          <w:iCs/>
        </w:rPr>
        <w:tab/>
      </w:r>
      <w:r w:rsidRPr="00BD3F1B">
        <w:rPr>
          <w:i/>
          <w:iCs/>
        </w:rPr>
        <w:tab/>
      </w:r>
      <w:hyperlink r:id="rId7" w:history="1">
        <w:r w:rsidRPr="00BD3F1B">
          <w:rPr>
            <w:rStyle w:val="Hyperlink"/>
          </w:rPr>
          <w:t>http://www.aupress.ca/books/120146/ebook/99Z_Anderson_2008-</w:t>
        </w:r>
        <w:r w:rsidRPr="00BD3F1B">
          <w:rPr>
            <w:rStyle w:val="Hyperlink"/>
          </w:rPr>
          <w:tab/>
          <w:t>Theory_and_Practice_of_Online_Learning.pdf</w:t>
        </w:r>
      </w:hyperlink>
    </w:p>
    <w:p w14:paraId="3DAD64A4" w14:textId="77777777" w:rsidR="00D77950" w:rsidRPr="00BD3F1B" w:rsidRDefault="00D77950" w:rsidP="00D77950">
      <w:pPr>
        <w:jc w:val="both"/>
      </w:pPr>
    </w:p>
    <w:p w14:paraId="6788B628" w14:textId="1B9816C7" w:rsidR="00A35778" w:rsidRPr="00BD3F1B" w:rsidRDefault="00366078" w:rsidP="00B36960">
      <w:pPr>
        <w:jc w:val="both"/>
      </w:pPr>
      <w:r>
        <w:rPr>
          <w:rFonts w:eastAsiaTheme="minorEastAsia"/>
          <w:color w:val="262626"/>
        </w:rPr>
        <w:t>Anderson, D. &amp; Bull, P. H</w:t>
      </w:r>
      <w:r w:rsidR="00A35778" w:rsidRPr="00BD3F1B">
        <w:rPr>
          <w:rFonts w:eastAsiaTheme="minorEastAsia"/>
          <w:color w:val="262626"/>
        </w:rPr>
        <w:t xml:space="preserve">. (2011). Using Multimedia Presentations to Promote Literacy </w:t>
      </w:r>
      <w:r w:rsidR="00830FC1">
        <w:rPr>
          <w:rFonts w:eastAsiaTheme="minorEastAsia"/>
          <w:color w:val="262626"/>
        </w:rPr>
        <w:tab/>
      </w:r>
      <w:r w:rsidR="00A35778" w:rsidRPr="00BD3F1B">
        <w:rPr>
          <w:rFonts w:eastAsiaTheme="minorEastAsia"/>
          <w:color w:val="262626"/>
        </w:rPr>
        <w:t xml:space="preserve">in a First Grade Social Studies Classroom. </w:t>
      </w:r>
      <w:proofErr w:type="gramStart"/>
      <w:r w:rsidR="00A35778" w:rsidRPr="00BD3F1B">
        <w:rPr>
          <w:rFonts w:eastAsiaTheme="minorEastAsia"/>
          <w:color w:val="262626"/>
        </w:rPr>
        <w:t>California Reader, 44(4), 37-43.</w:t>
      </w:r>
      <w:proofErr w:type="gramEnd"/>
    </w:p>
    <w:p w14:paraId="2FAEFF66" w14:textId="77777777" w:rsidR="00A35778" w:rsidRDefault="00A35778" w:rsidP="00366078">
      <w:pPr>
        <w:jc w:val="both"/>
      </w:pPr>
    </w:p>
    <w:p w14:paraId="3ACEF8B2" w14:textId="13C25672" w:rsidR="00366078" w:rsidRDefault="00366078" w:rsidP="00366078">
      <w:pPr>
        <w:ind w:left="567" w:hanging="567"/>
        <w:rPr>
          <w:rFonts w:asciiTheme="majorBidi" w:hAnsiTheme="majorBidi" w:cstheme="majorBidi"/>
        </w:rPr>
      </w:pPr>
      <w:r>
        <w:rPr>
          <w:rFonts w:asciiTheme="majorBidi" w:hAnsiTheme="majorBidi" w:cstheme="majorBidi"/>
        </w:rPr>
        <w:t xml:space="preserve">Bates, A.W., &amp; Poole, G. (2003). </w:t>
      </w:r>
      <w:proofErr w:type="gramStart"/>
      <w:r w:rsidRPr="00DE321D">
        <w:rPr>
          <w:rFonts w:asciiTheme="majorBidi" w:hAnsiTheme="majorBidi" w:cstheme="majorBidi"/>
          <w:i/>
          <w:iCs/>
        </w:rPr>
        <w:t>Effective teaching with technology in higher education.</w:t>
      </w:r>
      <w:proofErr w:type="gramEnd"/>
      <w:r w:rsidRPr="00DE321D">
        <w:rPr>
          <w:rFonts w:asciiTheme="majorBidi" w:hAnsiTheme="majorBidi" w:cstheme="majorBidi"/>
          <w:i/>
          <w:iCs/>
        </w:rPr>
        <w:t xml:space="preserve"> </w:t>
      </w:r>
      <w:proofErr w:type="gramStart"/>
      <w:r w:rsidRPr="00DE321D">
        <w:rPr>
          <w:rFonts w:asciiTheme="majorBidi" w:hAnsiTheme="majorBidi" w:cstheme="majorBidi"/>
          <w:i/>
          <w:iCs/>
        </w:rPr>
        <w:t>Foundations for success.</w:t>
      </w:r>
      <w:proofErr w:type="gramEnd"/>
      <w:r w:rsidRPr="00DE321D">
        <w:rPr>
          <w:rFonts w:asciiTheme="majorBidi" w:hAnsiTheme="majorBidi" w:cstheme="majorBidi"/>
          <w:i/>
          <w:iCs/>
        </w:rPr>
        <w:t xml:space="preserve"> </w:t>
      </w:r>
      <w:r>
        <w:rPr>
          <w:rFonts w:asciiTheme="majorBidi" w:hAnsiTheme="majorBidi" w:cstheme="majorBidi"/>
        </w:rPr>
        <w:t>San Francisco, CA: John Wiley &amp; Sons, Inc.</w:t>
      </w:r>
    </w:p>
    <w:p w14:paraId="2556A261" w14:textId="77777777" w:rsidR="009A1610" w:rsidRDefault="009A1610" w:rsidP="00366078">
      <w:pPr>
        <w:ind w:left="567" w:hanging="567"/>
        <w:rPr>
          <w:rFonts w:asciiTheme="majorBidi" w:hAnsiTheme="majorBidi" w:cstheme="majorBidi"/>
        </w:rPr>
      </w:pPr>
    </w:p>
    <w:p w14:paraId="07A034B0" w14:textId="57880CD3" w:rsidR="009A1610" w:rsidRPr="009A1610" w:rsidRDefault="009A1610" w:rsidP="009A1610">
      <w:pPr>
        <w:jc w:val="both"/>
      </w:pPr>
      <w:proofErr w:type="spellStart"/>
      <w:r w:rsidRPr="00C66570">
        <w:t>Ibenez</w:t>
      </w:r>
      <w:proofErr w:type="spellEnd"/>
      <w:r w:rsidRPr="00C66570">
        <w:t xml:space="preserve">, L., &amp; King, B. (2011). ITK. In A. Brown &amp; G. Wilson (Series Eds.), </w:t>
      </w:r>
      <w:r w:rsidRPr="00C66570">
        <w:rPr>
          <w:i/>
        </w:rPr>
        <w:t xml:space="preserve">The </w:t>
      </w:r>
      <w:r>
        <w:rPr>
          <w:i/>
        </w:rPr>
        <w:tab/>
      </w:r>
      <w:r w:rsidRPr="00C66570">
        <w:rPr>
          <w:i/>
        </w:rPr>
        <w:t xml:space="preserve">Architecture of Open Source Applications: Volume 2. </w:t>
      </w:r>
      <w:proofErr w:type="gramStart"/>
      <w:r w:rsidRPr="00C66570">
        <w:rPr>
          <w:i/>
        </w:rPr>
        <w:t xml:space="preserve">Structure, scale, and a few </w:t>
      </w:r>
      <w:r w:rsidR="00696E68">
        <w:rPr>
          <w:i/>
        </w:rPr>
        <w:tab/>
      </w:r>
      <w:r w:rsidRPr="00C66570">
        <w:rPr>
          <w:i/>
        </w:rPr>
        <w:t>more fearless hacks.</w:t>
      </w:r>
      <w:proofErr w:type="gramEnd"/>
      <w:r w:rsidRPr="00C66570">
        <w:t xml:space="preserve"> </w:t>
      </w:r>
    </w:p>
    <w:p w14:paraId="3E0D310A" w14:textId="1B1F2C65" w:rsidR="00344A39" w:rsidRPr="00BD3F1B" w:rsidRDefault="00344A39" w:rsidP="00D77950">
      <w:pPr>
        <w:spacing w:before="100" w:beforeAutospacing="1" w:after="100" w:afterAutospacing="1"/>
        <w:jc w:val="both"/>
      </w:pPr>
      <w:r w:rsidRPr="00BD3F1B">
        <w:rPr>
          <w:rFonts w:eastAsiaTheme="minorEastAsia"/>
        </w:rPr>
        <w:t>Mayer, R. E. (20</w:t>
      </w:r>
      <w:bookmarkStart w:id="0" w:name="_GoBack"/>
      <w:bookmarkEnd w:id="0"/>
      <w:r w:rsidRPr="00BD3F1B">
        <w:rPr>
          <w:rFonts w:eastAsiaTheme="minorEastAsia"/>
        </w:rPr>
        <w:t>01). Multimedia learning. Cambridge: Cambridge University Press.</w:t>
      </w:r>
    </w:p>
    <w:p w14:paraId="2C17002B" w14:textId="36F52E76" w:rsidR="00D77950" w:rsidRPr="00BD3F1B" w:rsidRDefault="00D77950" w:rsidP="00D77950">
      <w:pPr>
        <w:jc w:val="both"/>
      </w:pPr>
      <w:proofErr w:type="spellStart"/>
      <w:r w:rsidRPr="00BD3F1B">
        <w:t>Mergel</w:t>
      </w:r>
      <w:proofErr w:type="spellEnd"/>
      <w:r w:rsidRPr="00BD3F1B">
        <w:t>, Brenda. (1998)</w:t>
      </w:r>
      <w:proofErr w:type="gramStart"/>
      <w:r w:rsidRPr="00BD3F1B">
        <w:t xml:space="preserve">. </w:t>
      </w:r>
      <w:r w:rsidRPr="00BD3F1B">
        <w:rPr>
          <w:i/>
        </w:rPr>
        <w:t>Instructional design and learning theory</w:t>
      </w:r>
      <w:r w:rsidRPr="00BD3F1B">
        <w:t>.</w:t>
      </w:r>
      <w:proofErr w:type="gramEnd"/>
      <w:r w:rsidRPr="00BD3F1B">
        <w:t xml:space="preserve"> </w:t>
      </w:r>
      <w:proofErr w:type="gramStart"/>
      <w:r w:rsidRPr="00BD3F1B">
        <w:t xml:space="preserve">Unpublished </w:t>
      </w:r>
      <w:r w:rsidR="00830FC1">
        <w:tab/>
      </w:r>
      <w:r w:rsidRPr="00BD3F1B">
        <w:t xml:space="preserve">manuscript, </w:t>
      </w:r>
      <w:r w:rsidRPr="00BD3F1B">
        <w:tab/>
        <w:t>Department of Educational Communications</w:t>
      </w:r>
      <w:r w:rsidR="00830FC1">
        <w:t xml:space="preserve"> and Technology, </w:t>
      </w:r>
      <w:r w:rsidR="00830FC1">
        <w:tab/>
        <w:t xml:space="preserve">University of </w:t>
      </w:r>
      <w:r w:rsidRPr="00BD3F1B">
        <w:t xml:space="preserve">Saskatchewan, </w:t>
      </w:r>
      <w:proofErr w:type="spellStart"/>
      <w:r w:rsidRPr="00BD3F1B">
        <w:t>Sasketchewan</w:t>
      </w:r>
      <w:proofErr w:type="spellEnd"/>
      <w:r w:rsidRPr="00BD3F1B">
        <w:t>, Canada.</w:t>
      </w:r>
      <w:proofErr w:type="gramEnd"/>
      <w:r w:rsidRPr="00BD3F1B">
        <w:t xml:space="preserve"> 1-24. Retrieved from  </w:t>
      </w:r>
      <w:r w:rsidRPr="00BD3F1B">
        <w:tab/>
      </w:r>
      <w:hyperlink r:id="rId8" w:history="1">
        <w:r w:rsidRPr="00BD3F1B">
          <w:rPr>
            <w:rStyle w:val="Hyperlink"/>
          </w:rPr>
          <w:t>http://www.usask.ca/education/coursework/802papers/mergel/brenda.htm</w:t>
        </w:r>
      </w:hyperlink>
      <w:r w:rsidRPr="00BD3F1B">
        <w:t xml:space="preserve"> </w:t>
      </w:r>
    </w:p>
    <w:p w14:paraId="758C5BD1" w14:textId="77043F74" w:rsidR="00D77950" w:rsidRPr="00BD3F1B" w:rsidRDefault="00D77950" w:rsidP="00D77950">
      <w:pPr>
        <w:pStyle w:val="body-paragraph"/>
        <w:jc w:val="both"/>
        <w:rPr>
          <w:rFonts w:eastAsiaTheme="minorEastAsia"/>
        </w:rPr>
      </w:pPr>
      <w:proofErr w:type="gramStart"/>
      <w:r w:rsidRPr="00BD3F1B">
        <w:rPr>
          <w:rFonts w:eastAsiaTheme="minorEastAsia"/>
        </w:rPr>
        <w:t>Morrison, G.R., S. Ross, and J. E. Kemp.</w:t>
      </w:r>
      <w:proofErr w:type="gramEnd"/>
      <w:r w:rsidRPr="00BD3F1B">
        <w:rPr>
          <w:rFonts w:eastAsiaTheme="minorEastAsia"/>
        </w:rPr>
        <w:t xml:space="preserve"> (2007)</w:t>
      </w:r>
      <w:proofErr w:type="gramStart"/>
      <w:r w:rsidRPr="00BD3F1B">
        <w:rPr>
          <w:rFonts w:eastAsiaTheme="minorEastAsia"/>
        </w:rPr>
        <w:t xml:space="preserve">. </w:t>
      </w:r>
      <w:r w:rsidRPr="00BD3F1B">
        <w:rPr>
          <w:rFonts w:eastAsiaTheme="minorEastAsia"/>
          <w:i/>
          <w:iCs/>
        </w:rPr>
        <w:t>Designing effective instruction</w:t>
      </w:r>
      <w:r w:rsidRPr="00BD3F1B">
        <w:rPr>
          <w:rFonts w:eastAsiaTheme="minorEastAsia"/>
        </w:rPr>
        <w:t xml:space="preserve"> (5th </w:t>
      </w:r>
      <w:r w:rsidR="00830FC1">
        <w:rPr>
          <w:rFonts w:eastAsiaTheme="minorEastAsia"/>
        </w:rPr>
        <w:tab/>
      </w:r>
      <w:r w:rsidRPr="00BD3F1B">
        <w:rPr>
          <w:rFonts w:eastAsiaTheme="minorEastAsia"/>
        </w:rPr>
        <w:t>ed.).</w:t>
      </w:r>
      <w:proofErr w:type="gramEnd"/>
      <w:r w:rsidRPr="00BD3F1B">
        <w:rPr>
          <w:rFonts w:eastAsiaTheme="minorEastAsia"/>
        </w:rPr>
        <w:t xml:space="preserve"> New York: John Wiley and Sons. ISBN: 0-470-07426-4. </w:t>
      </w:r>
    </w:p>
    <w:p w14:paraId="63E506FB" w14:textId="3963A5BA" w:rsidR="00D77950" w:rsidRPr="00BD3F1B" w:rsidRDefault="00D77950" w:rsidP="00D77950">
      <w:pPr>
        <w:jc w:val="both"/>
        <w:rPr>
          <w:color w:val="0000FF"/>
          <w:u w:val="single"/>
        </w:rPr>
      </w:pPr>
      <w:proofErr w:type="gramStart"/>
      <w:r w:rsidRPr="00BD3F1B">
        <w:t xml:space="preserve">Wilson, B. G., Ludwig-Hardman, S., </w:t>
      </w:r>
      <w:proofErr w:type="spellStart"/>
      <w:r w:rsidRPr="00BD3F1B">
        <w:t>Thornam</w:t>
      </w:r>
      <w:proofErr w:type="spellEnd"/>
      <w:r w:rsidRPr="00BD3F1B">
        <w:t>, C.L. &amp; Dunlap, J.C. (2004).</w:t>
      </w:r>
      <w:proofErr w:type="gramEnd"/>
      <w:r w:rsidRPr="00BD3F1B">
        <w:t xml:space="preserve"> Bounded </w:t>
      </w:r>
      <w:r w:rsidRPr="00BD3F1B">
        <w:tab/>
        <w:t xml:space="preserve">community: Designing and facilitating learning communities in formal courses. </w:t>
      </w:r>
      <w:r w:rsidR="00830FC1">
        <w:tab/>
      </w:r>
      <w:r w:rsidRPr="00BD3F1B">
        <w:t>In </w:t>
      </w:r>
      <w:r w:rsidRPr="00BD3F1B">
        <w:rPr>
          <w:i/>
          <w:iCs/>
        </w:rPr>
        <w:t xml:space="preserve">The </w:t>
      </w:r>
      <w:r w:rsidRPr="00BD3F1B">
        <w:rPr>
          <w:i/>
          <w:iCs/>
        </w:rPr>
        <w:tab/>
        <w:t>International Review of Research in Open and Distance Learning</w:t>
      </w:r>
      <w:proofErr w:type="gramStart"/>
      <w:r w:rsidRPr="00BD3F1B">
        <w:rPr>
          <w:i/>
          <w:iCs/>
        </w:rPr>
        <w:t>,(</w:t>
      </w:r>
      <w:proofErr w:type="gramEnd"/>
      <w:r w:rsidRPr="00BD3F1B">
        <w:rPr>
          <w:i/>
          <w:iCs/>
        </w:rPr>
        <w:t>5)</w:t>
      </w:r>
      <w:r w:rsidR="00830FC1">
        <w:t>3, 1-</w:t>
      </w:r>
      <w:r w:rsidR="00830FC1">
        <w:tab/>
        <w:t>22. </w:t>
      </w:r>
      <w:r w:rsidRPr="00BD3F1B">
        <w:t>Retrieved from </w:t>
      </w:r>
      <w:hyperlink r:id="rId9" w:history="1">
        <w:r w:rsidRPr="00BD3F1B">
          <w:rPr>
            <w:color w:val="0000FF"/>
            <w:u w:val="single"/>
          </w:rPr>
          <w:t>http://www.irrodl.org/index.php/irrodl/article/view/204/820</w:t>
        </w:r>
      </w:hyperlink>
    </w:p>
    <w:p w14:paraId="1FA75A55" w14:textId="77777777" w:rsidR="00B33415" w:rsidRDefault="00B33415" w:rsidP="00D77950">
      <w:pPr>
        <w:jc w:val="both"/>
      </w:pPr>
    </w:p>
    <w:p w14:paraId="7058F5FF" w14:textId="15EF4349" w:rsidR="005B0E62" w:rsidRPr="00B33415" w:rsidRDefault="00B33415" w:rsidP="00D77950">
      <w:pPr>
        <w:jc w:val="both"/>
      </w:pPr>
      <w:r w:rsidRPr="00B33415">
        <w:t xml:space="preserve">Wang, </w:t>
      </w:r>
      <w:r>
        <w:t xml:space="preserve">H. &amp; </w:t>
      </w:r>
      <w:proofErr w:type="spellStart"/>
      <w:r>
        <w:t>Gerhart</w:t>
      </w:r>
      <w:proofErr w:type="spellEnd"/>
      <w:r>
        <w:t xml:space="preserve">, D.L. (2006). </w:t>
      </w:r>
      <w:r>
        <w:rPr>
          <w:i/>
        </w:rPr>
        <w:t xml:space="preserve">Designing and Developing Web-based Instruction. </w:t>
      </w:r>
      <w:r>
        <w:rPr>
          <w:i/>
        </w:rPr>
        <w:tab/>
      </w:r>
      <w:r>
        <w:t>Upper Saddle River, N.J.: Pearson Education.</w:t>
      </w:r>
    </w:p>
    <w:p w14:paraId="724122A7" w14:textId="77777777" w:rsidR="00B33415" w:rsidRDefault="00B33415" w:rsidP="00D77950">
      <w:pPr>
        <w:jc w:val="both"/>
        <w:rPr>
          <w:rFonts w:eastAsiaTheme="minorEastAsia"/>
          <w:color w:val="262626"/>
        </w:rPr>
      </w:pPr>
    </w:p>
    <w:p w14:paraId="1FE22196" w14:textId="3ED99E7F" w:rsidR="005B0E62" w:rsidRPr="00BD3F1B" w:rsidRDefault="005B0E62" w:rsidP="00D77950">
      <w:pPr>
        <w:jc w:val="both"/>
      </w:pPr>
      <w:r w:rsidRPr="00BD3F1B">
        <w:rPr>
          <w:rFonts w:eastAsiaTheme="minorEastAsia"/>
          <w:color w:val="262626"/>
        </w:rPr>
        <w:t xml:space="preserve">Yan, D., &amp; </w:t>
      </w:r>
      <w:proofErr w:type="spellStart"/>
      <w:r w:rsidRPr="00BD3F1B">
        <w:rPr>
          <w:rFonts w:eastAsiaTheme="minorEastAsia"/>
          <w:color w:val="262626"/>
        </w:rPr>
        <w:t>Rongchun</w:t>
      </w:r>
      <w:proofErr w:type="spellEnd"/>
      <w:r w:rsidRPr="00BD3F1B">
        <w:rPr>
          <w:rFonts w:eastAsiaTheme="minorEastAsia"/>
          <w:color w:val="262626"/>
        </w:rPr>
        <w:t xml:space="preserve">, L. (2011). </w:t>
      </w:r>
      <w:proofErr w:type="gramStart"/>
      <w:r w:rsidRPr="00BD3F1B">
        <w:rPr>
          <w:rFonts w:eastAsiaTheme="minorEastAsia"/>
          <w:color w:val="262626"/>
        </w:rPr>
        <w:t>The Reflection for Multimedia Teaching.</w:t>
      </w:r>
      <w:proofErr w:type="gramEnd"/>
      <w:r w:rsidRPr="00BD3F1B">
        <w:rPr>
          <w:rFonts w:eastAsiaTheme="minorEastAsia"/>
          <w:color w:val="262626"/>
        </w:rPr>
        <w:t xml:space="preserve"> </w:t>
      </w:r>
      <w:proofErr w:type="gramStart"/>
      <w:r w:rsidRPr="00BD3F1B">
        <w:rPr>
          <w:rFonts w:eastAsiaTheme="minorEastAsia"/>
          <w:color w:val="262626"/>
        </w:rPr>
        <w:t xml:space="preserve">Asian Social </w:t>
      </w:r>
      <w:r w:rsidR="00830FC1">
        <w:rPr>
          <w:rFonts w:eastAsiaTheme="minorEastAsia"/>
          <w:color w:val="262626"/>
        </w:rPr>
        <w:tab/>
      </w:r>
      <w:r w:rsidRPr="00BD3F1B">
        <w:rPr>
          <w:rFonts w:eastAsiaTheme="minorEastAsia"/>
          <w:color w:val="262626"/>
        </w:rPr>
        <w:t>Science, 7(2), 165-167.</w:t>
      </w:r>
      <w:proofErr w:type="gramEnd"/>
    </w:p>
    <w:p w14:paraId="6CA62242" w14:textId="36BC4F08" w:rsidR="00716B30" w:rsidRPr="00BD3F1B" w:rsidRDefault="00716B30" w:rsidP="00716B30">
      <w:pPr>
        <w:rPr>
          <w:rFonts w:eastAsiaTheme="minorEastAsia"/>
        </w:rPr>
      </w:pPr>
    </w:p>
    <w:p w14:paraId="3B6029DC" w14:textId="77777777" w:rsidR="00953F4E" w:rsidRPr="00BD3F1B" w:rsidRDefault="00953F4E">
      <w:pPr>
        <w:rPr>
          <w:rFonts w:eastAsiaTheme="minorEastAsia"/>
          <w:b/>
        </w:rPr>
      </w:pPr>
    </w:p>
    <w:sectPr w:rsidR="00953F4E" w:rsidRPr="00BD3F1B" w:rsidSect="003262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55615"/>
    <w:multiLevelType w:val="hybridMultilevel"/>
    <w:tmpl w:val="669A84B6"/>
    <w:lvl w:ilvl="0" w:tplc="E162E9CE">
      <w:start w:val="1"/>
      <w:numFmt w:val="bullet"/>
      <w:lvlText w:val=""/>
      <w:lvlJc w:val="left"/>
      <w:pPr>
        <w:tabs>
          <w:tab w:val="num" w:pos="720"/>
        </w:tabs>
        <w:ind w:left="720" w:hanging="360"/>
      </w:pPr>
      <w:rPr>
        <w:rFonts w:ascii="Wingdings" w:hAnsi="Wingdings" w:hint="default"/>
      </w:rPr>
    </w:lvl>
    <w:lvl w:ilvl="1" w:tplc="2ACC507E" w:tentative="1">
      <w:start w:val="1"/>
      <w:numFmt w:val="bullet"/>
      <w:lvlText w:val=""/>
      <w:lvlJc w:val="left"/>
      <w:pPr>
        <w:tabs>
          <w:tab w:val="num" w:pos="1440"/>
        </w:tabs>
        <w:ind w:left="1440" w:hanging="360"/>
      </w:pPr>
      <w:rPr>
        <w:rFonts w:ascii="Wingdings" w:hAnsi="Wingdings" w:hint="default"/>
      </w:rPr>
    </w:lvl>
    <w:lvl w:ilvl="2" w:tplc="8BE41E00" w:tentative="1">
      <w:start w:val="1"/>
      <w:numFmt w:val="bullet"/>
      <w:lvlText w:val=""/>
      <w:lvlJc w:val="left"/>
      <w:pPr>
        <w:tabs>
          <w:tab w:val="num" w:pos="2160"/>
        </w:tabs>
        <w:ind w:left="2160" w:hanging="360"/>
      </w:pPr>
      <w:rPr>
        <w:rFonts w:ascii="Wingdings" w:hAnsi="Wingdings" w:hint="default"/>
      </w:rPr>
    </w:lvl>
    <w:lvl w:ilvl="3" w:tplc="27926E06" w:tentative="1">
      <w:start w:val="1"/>
      <w:numFmt w:val="bullet"/>
      <w:lvlText w:val=""/>
      <w:lvlJc w:val="left"/>
      <w:pPr>
        <w:tabs>
          <w:tab w:val="num" w:pos="2880"/>
        </w:tabs>
        <w:ind w:left="2880" w:hanging="360"/>
      </w:pPr>
      <w:rPr>
        <w:rFonts w:ascii="Wingdings" w:hAnsi="Wingdings" w:hint="default"/>
      </w:rPr>
    </w:lvl>
    <w:lvl w:ilvl="4" w:tplc="4B042ED8" w:tentative="1">
      <w:start w:val="1"/>
      <w:numFmt w:val="bullet"/>
      <w:lvlText w:val=""/>
      <w:lvlJc w:val="left"/>
      <w:pPr>
        <w:tabs>
          <w:tab w:val="num" w:pos="3600"/>
        </w:tabs>
        <w:ind w:left="3600" w:hanging="360"/>
      </w:pPr>
      <w:rPr>
        <w:rFonts w:ascii="Wingdings" w:hAnsi="Wingdings" w:hint="default"/>
      </w:rPr>
    </w:lvl>
    <w:lvl w:ilvl="5" w:tplc="64269BB4" w:tentative="1">
      <w:start w:val="1"/>
      <w:numFmt w:val="bullet"/>
      <w:lvlText w:val=""/>
      <w:lvlJc w:val="left"/>
      <w:pPr>
        <w:tabs>
          <w:tab w:val="num" w:pos="4320"/>
        </w:tabs>
        <w:ind w:left="4320" w:hanging="360"/>
      </w:pPr>
      <w:rPr>
        <w:rFonts w:ascii="Wingdings" w:hAnsi="Wingdings" w:hint="default"/>
      </w:rPr>
    </w:lvl>
    <w:lvl w:ilvl="6" w:tplc="C562DF4C" w:tentative="1">
      <w:start w:val="1"/>
      <w:numFmt w:val="bullet"/>
      <w:lvlText w:val=""/>
      <w:lvlJc w:val="left"/>
      <w:pPr>
        <w:tabs>
          <w:tab w:val="num" w:pos="5040"/>
        </w:tabs>
        <w:ind w:left="5040" w:hanging="360"/>
      </w:pPr>
      <w:rPr>
        <w:rFonts w:ascii="Wingdings" w:hAnsi="Wingdings" w:hint="default"/>
      </w:rPr>
    </w:lvl>
    <w:lvl w:ilvl="7" w:tplc="1F648C46" w:tentative="1">
      <w:start w:val="1"/>
      <w:numFmt w:val="bullet"/>
      <w:lvlText w:val=""/>
      <w:lvlJc w:val="left"/>
      <w:pPr>
        <w:tabs>
          <w:tab w:val="num" w:pos="5760"/>
        </w:tabs>
        <w:ind w:left="5760" w:hanging="360"/>
      </w:pPr>
      <w:rPr>
        <w:rFonts w:ascii="Wingdings" w:hAnsi="Wingdings" w:hint="default"/>
      </w:rPr>
    </w:lvl>
    <w:lvl w:ilvl="8" w:tplc="EF704FFC" w:tentative="1">
      <w:start w:val="1"/>
      <w:numFmt w:val="bullet"/>
      <w:lvlText w:val=""/>
      <w:lvlJc w:val="left"/>
      <w:pPr>
        <w:tabs>
          <w:tab w:val="num" w:pos="6480"/>
        </w:tabs>
        <w:ind w:left="6480" w:hanging="360"/>
      </w:pPr>
      <w:rPr>
        <w:rFonts w:ascii="Wingdings" w:hAnsi="Wingdings" w:hint="default"/>
      </w:rPr>
    </w:lvl>
  </w:abstractNum>
  <w:abstractNum w:abstractNumId="1">
    <w:nsid w:val="72A0278E"/>
    <w:multiLevelType w:val="hybridMultilevel"/>
    <w:tmpl w:val="5BF0960E"/>
    <w:lvl w:ilvl="0" w:tplc="1C3A282A">
      <w:start w:val="1"/>
      <w:numFmt w:val="bullet"/>
      <w:lvlText w:val=""/>
      <w:lvlJc w:val="left"/>
      <w:pPr>
        <w:tabs>
          <w:tab w:val="num" w:pos="720"/>
        </w:tabs>
        <w:ind w:left="720" w:hanging="360"/>
      </w:pPr>
      <w:rPr>
        <w:rFonts w:ascii="Wingdings" w:hAnsi="Wingdings" w:hint="default"/>
      </w:rPr>
    </w:lvl>
    <w:lvl w:ilvl="1" w:tplc="2F682296" w:tentative="1">
      <w:start w:val="1"/>
      <w:numFmt w:val="bullet"/>
      <w:lvlText w:val=""/>
      <w:lvlJc w:val="left"/>
      <w:pPr>
        <w:tabs>
          <w:tab w:val="num" w:pos="1440"/>
        </w:tabs>
        <w:ind w:left="1440" w:hanging="360"/>
      </w:pPr>
      <w:rPr>
        <w:rFonts w:ascii="Wingdings" w:hAnsi="Wingdings" w:hint="default"/>
      </w:rPr>
    </w:lvl>
    <w:lvl w:ilvl="2" w:tplc="30629BB0" w:tentative="1">
      <w:start w:val="1"/>
      <w:numFmt w:val="bullet"/>
      <w:lvlText w:val=""/>
      <w:lvlJc w:val="left"/>
      <w:pPr>
        <w:tabs>
          <w:tab w:val="num" w:pos="2160"/>
        </w:tabs>
        <w:ind w:left="2160" w:hanging="360"/>
      </w:pPr>
      <w:rPr>
        <w:rFonts w:ascii="Wingdings" w:hAnsi="Wingdings" w:hint="default"/>
      </w:rPr>
    </w:lvl>
    <w:lvl w:ilvl="3" w:tplc="3D320698" w:tentative="1">
      <w:start w:val="1"/>
      <w:numFmt w:val="bullet"/>
      <w:lvlText w:val=""/>
      <w:lvlJc w:val="left"/>
      <w:pPr>
        <w:tabs>
          <w:tab w:val="num" w:pos="2880"/>
        </w:tabs>
        <w:ind w:left="2880" w:hanging="360"/>
      </w:pPr>
      <w:rPr>
        <w:rFonts w:ascii="Wingdings" w:hAnsi="Wingdings" w:hint="default"/>
      </w:rPr>
    </w:lvl>
    <w:lvl w:ilvl="4" w:tplc="2F4E505A" w:tentative="1">
      <w:start w:val="1"/>
      <w:numFmt w:val="bullet"/>
      <w:lvlText w:val=""/>
      <w:lvlJc w:val="left"/>
      <w:pPr>
        <w:tabs>
          <w:tab w:val="num" w:pos="3600"/>
        </w:tabs>
        <w:ind w:left="3600" w:hanging="360"/>
      </w:pPr>
      <w:rPr>
        <w:rFonts w:ascii="Wingdings" w:hAnsi="Wingdings" w:hint="default"/>
      </w:rPr>
    </w:lvl>
    <w:lvl w:ilvl="5" w:tplc="F4A88E02" w:tentative="1">
      <w:start w:val="1"/>
      <w:numFmt w:val="bullet"/>
      <w:lvlText w:val=""/>
      <w:lvlJc w:val="left"/>
      <w:pPr>
        <w:tabs>
          <w:tab w:val="num" w:pos="4320"/>
        </w:tabs>
        <w:ind w:left="4320" w:hanging="360"/>
      </w:pPr>
      <w:rPr>
        <w:rFonts w:ascii="Wingdings" w:hAnsi="Wingdings" w:hint="default"/>
      </w:rPr>
    </w:lvl>
    <w:lvl w:ilvl="6" w:tplc="5DFE6D48" w:tentative="1">
      <w:start w:val="1"/>
      <w:numFmt w:val="bullet"/>
      <w:lvlText w:val=""/>
      <w:lvlJc w:val="left"/>
      <w:pPr>
        <w:tabs>
          <w:tab w:val="num" w:pos="5040"/>
        </w:tabs>
        <w:ind w:left="5040" w:hanging="360"/>
      </w:pPr>
      <w:rPr>
        <w:rFonts w:ascii="Wingdings" w:hAnsi="Wingdings" w:hint="default"/>
      </w:rPr>
    </w:lvl>
    <w:lvl w:ilvl="7" w:tplc="C0AC13D8" w:tentative="1">
      <w:start w:val="1"/>
      <w:numFmt w:val="bullet"/>
      <w:lvlText w:val=""/>
      <w:lvlJc w:val="left"/>
      <w:pPr>
        <w:tabs>
          <w:tab w:val="num" w:pos="5760"/>
        </w:tabs>
        <w:ind w:left="5760" w:hanging="360"/>
      </w:pPr>
      <w:rPr>
        <w:rFonts w:ascii="Wingdings" w:hAnsi="Wingdings" w:hint="default"/>
      </w:rPr>
    </w:lvl>
    <w:lvl w:ilvl="8" w:tplc="C88E67FE" w:tentative="1">
      <w:start w:val="1"/>
      <w:numFmt w:val="bullet"/>
      <w:lvlText w:val=""/>
      <w:lvlJc w:val="left"/>
      <w:pPr>
        <w:tabs>
          <w:tab w:val="num" w:pos="6480"/>
        </w:tabs>
        <w:ind w:left="6480" w:hanging="360"/>
      </w:pPr>
      <w:rPr>
        <w:rFonts w:ascii="Wingdings" w:hAnsi="Wingdings" w:hint="default"/>
      </w:rPr>
    </w:lvl>
  </w:abstractNum>
  <w:abstractNum w:abstractNumId="2">
    <w:nsid w:val="7B356B4A"/>
    <w:multiLevelType w:val="hybridMultilevel"/>
    <w:tmpl w:val="F5A2D29E"/>
    <w:lvl w:ilvl="0" w:tplc="A2EE2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48"/>
    <w:rsid w:val="00065F4C"/>
    <w:rsid w:val="000B4CFF"/>
    <w:rsid w:val="000D6DFC"/>
    <w:rsid w:val="00132F5B"/>
    <w:rsid w:val="00151E60"/>
    <w:rsid w:val="00156ECC"/>
    <w:rsid w:val="001B242D"/>
    <w:rsid w:val="001D0E2C"/>
    <w:rsid w:val="002135C5"/>
    <w:rsid w:val="00216175"/>
    <w:rsid w:val="002672EC"/>
    <w:rsid w:val="002D504C"/>
    <w:rsid w:val="002F55BB"/>
    <w:rsid w:val="0032625B"/>
    <w:rsid w:val="00344A39"/>
    <w:rsid w:val="00361E4D"/>
    <w:rsid w:val="00366078"/>
    <w:rsid w:val="0039265F"/>
    <w:rsid w:val="003A7036"/>
    <w:rsid w:val="003B5F5E"/>
    <w:rsid w:val="003C72FC"/>
    <w:rsid w:val="003D7296"/>
    <w:rsid w:val="003E4B09"/>
    <w:rsid w:val="00475D47"/>
    <w:rsid w:val="004B34E4"/>
    <w:rsid w:val="004B421A"/>
    <w:rsid w:val="004C4927"/>
    <w:rsid w:val="004F0767"/>
    <w:rsid w:val="005942B2"/>
    <w:rsid w:val="005B0E62"/>
    <w:rsid w:val="005C12AD"/>
    <w:rsid w:val="005C1F06"/>
    <w:rsid w:val="005D5096"/>
    <w:rsid w:val="00610663"/>
    <w:rsid w:val="00660633"/>
    <w:rsid w:val="00696E68"/>
    <w:rsid w:val="00716B30"/>
    <w:rsid w:val="00766532"/>
    <w:rsid w:val="007744E6"/>
    <w:rsid w:val="007B5ADB"/>
    <w:rsid w:val="007D5FD3"/>
    <w:rsid w:val="007F103F"/>
    <w:rsid w:val="007F678B"/>
    <w:rsid w:val="00814A48"/>
    <w:rsid w:val="008263C2"/>
    <w:rsid w:val="00830FC1"/>
    <w:rsid w:val="008B5EF9"/>
    <w:rsid w:val="00953F4E"/>
    <w:rsid w:val="0097105C"/>
    <w:rsid w:val="009A1610"/>
    <w:rsid w:val="00A0422D"/>
    <w:rsid w:val="00A35778"/>
    <w:rsid w:val="00A42AEE"/>
    <w:rsid w:val="00A517C3"/>
    <w:rsid w:val="00A84F50"/>
    <w:rsid w:val="00A97F65"/>
    <w:rsid w:val="00AB152B"/>
    <w:rsid w:val="00AF673D"/>
    <w:rsid w:val="00B11B6A"/>
    <w:rsid w:val="00B23B42"/>
    <w:rsid w:val="00B33415"/>
    <w:rsid w:val="00B33F52"/>
    <w:rsid w:val="00B36960"/>
    <w:rsid w:val="00B76D0B"/>
    <w:rsid w:val="00BA37D7"/>
    <w:rsid w:val="00BD3F1B"/>
    <w:rsid w:val="00C441BB"/>
    <w:rsid w:val="00C45F7A"/>
    <w:rsid w:val="00C5561C"/>
    <w:rsid w:val="00C825B6"/>
    <w:rsid w:val="00CC7577"/>
    <w:rsid w:val="00CF332B"/>
    <w:rsid w:val="00D344EE"/>
    <w:rsid w:val="00D77950"/>
    <w:rsid w:val="00DA1C8B"/>
    <w:rsid w:val="00DD6E90"/>
    <w:rsid w:val="00E006B9"/>
    <w:rsid w:val="00E24111"/>
    <w:rsid w:val="00E319FE"/>
    <w:rsid w:val="00E45808"/>
    <w:rsid w:val="00E7010A"/>
    <w:rsid w:val="00EB082C"/>
    <w:rsid w:val="00ED1F6E"/>
    <w:rsid w:val="00EF096C"/>
    <w:rsid w:val="00F207CE"/>
    <w:rsid w:val="00F25DDF"/>
    <w:rsid w:val="00F27DA4"/>
    <w:rsid w:val="00F44A4C"/>
    <w:rsid w:val="00F72E44"/>
    <w:rsid w:val="00F839E3"/>
    <w:rsid w:val="00F9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BB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4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2FC"/>
    <w:pPr>
      <w:ind w:left="720"/>
      <w:contextualSpacing/>
    </w:pPr>
  </w:style>
  <w:style w:type="paragraph" w:styleId="BalloonText">
    <w:name w:val="Balloon Text"/>
    <w:basedOn w:val="Normal"/>
    <w:link w:val="BalloonTextChar"/>
    <w:uiPriority w:val="99"/>
    <w:semiHidden/>
    <w:unhideWhenUsed/>
    <w:rsid w:val="00E45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08"/>
    <w:rPr>
      <w:rFonts w:ascii="Lucida Grande" w:eastAsia="Times New Roman" w:hAnsi="Lucida Grande" w:cs="Lucida Grande"/>
      <w:sz w:val="18"/>
      <w:szCs w:val="18"/>
    </w:rPr>
  </w:style>
  <w:style w:type="paragraph" w:customStyle="1" w:styleId="body-paragraph">
    <w:name w:val="body-paragraph"/>
    <w:basedOn w:val="Normal"/>
    <w:rsid w:val="00D77950"/>
    <w:pPr>
      <w:spacing w:before="100" w:beforeAutospacing="1" w:after="100" w:afterAutospacing="1"/>
    </w:pPr>
    <w:rPr>
      <w:rFonts w:eastAsiaTheme="minorHAnsi"/>
    </w:rPr>
  </w:style>
  <w:style w:type="character" w:styleId="Hyperlink">
    <w:name w:val="Hyperlink"/>
    <w:basedOn w:val="DefaultParagraphFont"/>
    <w:uiPriority w:val="99"/>
    <w:unhideWhenUsed/>
    <w:rsid w:val="00D779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4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2FC"/>
    <w:pPr>
      <w:ind w:left="720"/>
      <w:contextualSpacing/>
    </w:pPr>
  </w:style>
  <w:style w:type="paragraph" w:styleId="BalloonText">
    <w:name w:val="Balloon Text"/>
    <w:basedOn w:val="Normal"/>
    <w:link w:val="BalloonTextChar"/>
    <w:uiPriority w:val="99"/>
    <w:semiHidden/>
    <w:unhideWhenUsed/>
    <w:rsid w:val="00E45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08"/>
    <w:rPr>
      <w:rFonts w:ascii="Lucida Grande" w:eastAsia="Times New Roman" w:hAnsi="Lucida Grande" w:cs="Lucida Grande"/>
      <w:sz w:val="18"/>
      <w:szCs w:val="18"/>
    </w:rPr>
  </w:style>
  <w:style w:type="paragraph" w:customStyle="1" w:styleId="body-paragraph">
    <w:name w:val="body-paragraph"/>
    <w:basedOn w:val="Normal"/>
    <w:rsid w:val="00D77950"/>
    <w:pPr>
      <w:spacing w:before="100" w:beforeAutospacing="1" w:after="100" w:afterAutospacing="1"/>
    </w:pPr>
    <w:rPr>
      <w:rFonts w:eastAsiaTheme="minorHAnsi"/>
    </w:rPr>
  </w:style>
  <w:style w:type="character" w:styleId="Hyperlink">
    <w:name w:val="Hyperlink"/>
    <w:basedOn w:val="DefaultParagraphFont"/>
    <w:uiPriority w:val="99"/>
    <w:unhideWhenUsed/>
    <w:rsid w:val="00D77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4591">
      <w:bodyDiv w:val="1"/>
      <w:marLeft w:val="0"/>
      <w:marRight w:val="0"/>
      <w:marTop w:val="0"/>
      <w:marBottom w:val="0"/>
      <w:divBdr>
        <w:top w:val="none" w:sz="0" w:space="0" w:color="auto"/>
        <w:left w:val="none" w:sz="0" w:space="0" w:color="auto"/>
        <w:bottom w:val="none" w:sz="0" w:space="0" w:color="auto"/>
        <w:right w:val="none" w:sz="0" w:space="0" w:color="auto"/>
      </w:divBdr>
      <w:divsChild>
        <w:div w:id="1666670003">
          <w:marLeft w:val="547"/>
          <w:marRight w:val="0"/>
          <w:marTop w:val="115"/>
          <w:marBottom w:val="80"/>
          <w:divBdr>
            <w:top w:val="none" w:sz="0" w:space="0" w:color="auto"/>
            <w:left w:val="none" w:sz="0" w:space="0" w:color="auto"/>
            <w:bottom w:val="none" w:sz="0" w:space="0" w:color="auto"/>
            <w:right w:val="none" w:sz="0" w:space="0" w:color="auto"/>
          </w:divBdr>
        </w:div>
        <w:div w:id="398214207">
          <w:marLeft w:val="547"/>
          <w:marRight w:val="0"/>
          <w:marTop w:val="115"/>
          <w:marBottom w:val="80"/>
          <w:divBdr>
            <w:top w:val="none" w:sz="0" w:space="0" w:color="auto"/>
            <w:left w:val="none" w:sz="0" w:space="0" w:color="auto"/>
            <w:bottom w:val="none" w:sz="0" w:space="0" w:color="auto"/>
            <w:right w:val="none" w:sz="0" w:space="0" w:color="auto"/>
          </w:divBdr>
        </w:div>
        <w:div w:id="1671448360">
          <w:marLeft w:val="547"/>
          <w:marRight w:val="0"/>
          <w:marTop w:val="115"/>
          <w:marBottom w:val="80"/>
          <w:divBdr>
            <w:top w:val="none" w:sz="0" w:space="0" w:color="auto"/>
            <w:left w:val="none" w:sz="0" w:space="0" w:color="auto"/>
            <w:bottom w:val="none" w:sz="0" w:space="0" w:color="auto"/>
            <w:right w:val="none" w:sz="0" w:space="0" w:color="auto"/>
          </w:divBdr>
        </w:div>
        <w:div w:id="1821844328">
          <w:marLeft w:val="547"/>
          <w:marRight w:val="0"/>
          <w:marTop w:val="115"/>
          <w:marBottom w:val="80"/>
          <w:divBdr>
            <w:top w:val="none" w:sz="0" w:space="0" w:color="auto"/>
            <w:left w:val="none" w:sz="0" w:space="0" w:color="auto"/>
            <w:bottom w:val="none" w:sz="0" w:space="0" w:color="auto"/>
            <w:right w:val="none" w:sz="0" w:space="0" w:color="auto"/>
          </w:divBdr>
        </w:div>
        <w:div w:id="1259799640">
          <w:marLeft w:val="547"/>
          <w:marRight w:val="0"/>
          <w:marTop w:val="115"/>
          <w:marBottom w:val="80"/>
          <w:divBdr>
            <w:top w:val="none" w:sz="0" w:space="0" w:color="auto"/>
            <w:left w:val="none" w:sz="0" w:space="0" w:color="auto"/>
            <w:bottom w:val="none" w:sz="0" w:space="0" w:color="auto"/>
            <w:right w:val="none" w:sz="0" w:space="0" w:color="auto"/>
          </w:divBdr>
        </w:div>
      </w:divsChild>
    </w:div>
    <w:div w:id="837884700">
      <w:bodyDiv w:val="1"/>
      <w:marLeft w:val="0"/>
      <w:marRight w:val="0"/>
      <w:marTop w:val="0"/>
      <w:marBottom w:val="0"/>
      <w:divBdr>
        <w:top w:val="none" w:sz="0" w:space="0" w:color="auto"/>
        <w:left w:val="none" w:sz="0" w:space="0" w:color="auto"/>
        <w:bottom w:val="none" w:sz="0" w:space="0" w:color="auto"/>
        <w:right w:val="none" w:sz="0" w:space="0" w:color="auto"/>
      </w:divBdr>
    </w:div>
    <w:div w:id="1127159586">
      <w:bodyDiv w:val="1"/>
      <w:marLeft w:val="0"/>
      <w:marRight w:val="0"/>
      <w:marTop w:val="0"/>
      <w:marBottom w:val="0"/>
      <w:divBdr>
        <w:top w:val="none" w:sz="0" w:space="0" w:color="auto"/>
        <w:left w:val="none" w:sz="0" w:space="0" w:color="auto"/>
        <w:bottom w:val="none" w:sz="0" w:space="0" w:color="auto"/>
        <w:right w:val="none" w:sz="0" w:space="0" w:color="auto"/>
      </w:divBdr>
    </w:div>
    <w:div w:id="2119568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upress.ca/books/120146/ebook/99Z_Anderson_2008-%09Theory_and_Practice_of_Online_Learning.pdf" TargetMode="External"/><Relationship Id="rId8" Type="http://schemas.openxmlformats.org/officeDocument/2006/relationships/hyperlink" Target="http://www.usask.ca/education/coursework/802papers/mergel/brenda.htm" TargetMode="External"/><Relationship Id="rId9" Type="http://schemas.openxmlformats.org/officeDocument/2006/relationships/hyperlink" Target="http://www.irrodl.org/index.php/irrodl/article/view/204/82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11</Pages>
  <Words>2151</Words>
  <Characters>12266</Characters>
  <Application>Microsoft Macintosh Word</Application>
  <DocSecurity>0</DocSecurity>
  <Lines>102</Lines>
  <Paragraphs>28</Paragraphs>
  <ScaleCrop>false</ScaleCrop>
  <Company>army</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latoyia  johnson</dc:creator>
  <cp:keywords/>
  <dc:description/>
  <cp:lastModifiedBy>latoyia  johnson</cp:lastModifiedBy>
  <cp:revision>72</cp:revision>
  <dcterms:created xsi:type="dcterms:W3CDTF">2012-11-24T21:54:00Z</dcterms:created>
  <dcterms:modified xsi:type="dcterms:W3CDTF">2012-11-26T02:33:00Z</dcterms:modified>
</cp:coreProperties>
</file>